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Voorbeeld-ondernemingsplan</w:t>
      </w:r>
      <w:bookmarkEnd w:id="0"/>
    </w:p>
    <w:p>
      <w:pPr>
        <w:spacing w:after="200"/>
      </w:pPr>
      <w:r>
        <w:rPr>
          <w:color w:val="6b7280"/>
          <w:sz w:val="18"/>
          <w:szCs w:val="18"/>
          <w:i w:val="1"/>
          <w:iCs w:val="1"/>
        </w:rPr>
        <w:t xml:space="preserve">Sector: vervaardiging van zuivelproducten (SBI 10.5) · Gegenereerd op 10 mei 2026</w:t>
      </w:r>
    </w:p>
    <w:p>
      <w:pPr>
        <w:spacing w:after="200"/>
      </w:pPr>
      <w:r>
        <w:rPr>
          <w:color w:val="B8873F"/>
          <w:sz w:val="20"/>
          <w:szCs w:val="20"/>
          <w:i w:val="1"/>
          <w:iCs w:val="1"/>
        </w:rPr>
        <w:t xml:space="preserve">Branche-gemiddelde brutomarge: 22.7% (CBS-data, FirmFocus brancheinformatie).</w:t>
      </w:r>
    </w:p>
    <w:p>
      <w:pPr>
        <w:pStyle w:val="Heading2"/>
      </w:pPr>
      <w:bookmarkStart w:id="1" w:name="_Toc1"/>
      <w:r>
        <w:t>1. De onderneming</w:t>
      </w:r>
      <w:bookmarkEnd w:id="1"/>
    </w:p>
    <w:p>
      <w:pPr>
        <w:pStyle w:val="Heading3"/>
      </w:pPr>
      <w:bookmarkStart w:id="2" w:name="_Toc2"/>
      <w:r>
        <w:t>Bedrijfsidee</w:t>
      </w:r>
      <w:bookmarkEnd w:id="2"/>
    </w:p>
    <w:p>
      <w:pPr>
        <w:spacing w:after="100"/>
      </w:pPr>
      <w:r>
        <w:rPr>
          <w:color w:val="6b7280"/>
          <w:sz w:val="22"/>
          <w:szCs w:val="22"/>
          <w:i w:val="1"/>
          <w:iCs w:val="1"/>
        </w:rPr>
        <w:t xml:space="preserve">Beschrijf in een paar zinnen wat de onderneming gaat doen, voor welke klanten en welk probleem ze oplost. Maak helder waarom deze onderneming nu bestaansrecht heeft.</w:t>
      </w:r>
    </w:p>
    <w:p>
      <w:pPr>
        <w:pStyle w:val="Heading3"/>
      </w:pPr>
      <w:bookmarkStart w:id="3" w:name="_Toc3"/>
      <w:r>
        <w:t>Missie</w:t>
      </w:r>
      <w:bookmarkEnd w:id="3"/>
    </w:p>
    <w:p>
      <w:pPr>
        <w:spacing w:after="100"/>
      </w:pPr>
      <w:r>
        <w:rPr>
          <w:color w:val="6b7280"/>
          <w:sz w:val="22"/>
          <w:szCs w:val="22"/>
          <w:i w:val="1"/>
          <w:iCs w:val="1"/>
        </w:rPr>
        <w:t xml:space="preserve">De missie vat samen waar het bedrijf voor staat — kernwaarden, maatschappelijke rol en waar de onderneming op aan te spreken is.</w:t>
      </w:r>
    </w:p>
    <w:p>
      <w:pPr>
        <w:pStyle w:val="Heading3"/>
      </w:pPr>
      <w:bookmarkStart w:id="4" w:name="_Toc4"/>
      <w:r>
        <w:t>Visie</w:t>
      </w:r>
      <w:bookmarkEnd w:id="4"/>
    </w:p>
    <w:p>
      <w:pPr>
        <w:spacing w:after="100"/>
      </w:pPr>
      <w:r>
        <w:rPr>
          <w:color w:val="6b7280"/>
          <w:sz w:val="22"/>
          <w:szCs w:val="22"/>
          <w:i w:val="1"/>
          <w:iCs w:val="1"/>
        </w:rPr>
        <w:t xml:space="preserve">De visie kijkt vooruit: hoe ziet de markt er over enkele jaren uit, welke positie wil het bedrijf daarin innemen.</w:t>
      </w:r>
    </w:p>
    <w:p>
      <w:pPr>
        <w:pStyle w:val="Heading2"/>
      </w:pPr>
      <w:bookmarkStart w:id="5" w:name="_Toc5"/>
      <w:r>
        <w:t>2. De ondernemer</w:t>
      </w:r>
      <w:bookmarkEnd w:id="5"/>
    </w:p>
    <w:p>
      <w:pPr>
        <w:pStyle w:val="Heading3"/>
      </w:pPr>
      <w:bookmarkStart w:id="6" w:name="_Toc6"/>
      <w:r>
        <w:t>Sterktes</w:t>
      </w:r>
      <w:bookmarkEnd w:id="6"/>
    </w:p>
    <w:p>
      <w:pPr>
        <w:spacing w:after="100"/>
      </w:pPr>
      <w:r>
        <w:rPr>
          <w:color w:val="6b7280"/>
          <w:sz w:val="22"/>
          <w:szCs w:val="22"/>
          <w:i w:val="1"/>
          <w:iCs w:val="1"/>
        </w:rPr>
        <w:t xml:space="preserve">Welke ervaring, kennis, vaardigheden en netwerk maken de ondernemer geschikt voor deze branche.</w:t>
      </w:r>
    </w:p>
    <w:p>
      <w:pPr>
        <w:pStyle w:val="Heading3"/>
      </w:pPr>
      <w:bookmarkStart w:id="7" w:name="_Toc7"/>
      <w:r>
        <w:t>Aandachtspunten</w:t>
      </w:r>
      <w:bookmarkEnd w:id="7"/>
    </w:p>
    <w:p>
      <w:pPr>
        <w:spacing w:after="100"/>
      </w:pPr>
      <w:r>
        <w:rPr>
          <w:color w:val="6b7280"/>
          <w:sz w:val="22"/>
          <w:szCs w:val="22"/>
          <w:i w:val="1"/>
          <w:iCs w:val="1"/>
        </w:rPr>
        <w:t xml:space="preserve">Eerlijke verbeterpunten van de ondernemer en hoe die worden ondervangen (cursus, partner, uitbesteden).</w:t>
      </w:r>
    </w:p>
    <w:p>
      <w:pPr>
        <w:pStyle w:val="Heading3"/>
      </w:pPr>
      <w:bookmarkStart w:id="8" w:name="_Toc8"/>
      <w:r>
        <w:t>Branche-ervaring</w:t>
      </w:r>
      <w:bookmarkEnd w:id="8"/>
    </w:p>
    <w:p>
      <w:pPr>
        <w:spacing w:after="100"/>
      </w:pPr>
      <w:r>
        <w:rPr>
          <w:color w:val="6b7280"/>
          <w:sz w:val="22"/>
          <w:szCs w:val="22"/>
          <w:i w:val="1"/>
          <w:iCs w:val="1"/>
        </w:rPr>
        <w:t xml:space="preserve">Relevante opleidingen, eerdere werkervaring in deze sector en lopend netwerk dat de start versnelt.</w:t>
      </w:r>
    </w:p>
    <w:p>
      <w:pPr>
        <w:pStyle w:val="Heading2"/>
      </w:pPr>
      <w:bookmarkStart w:id="9" w:name="_Toc9"/>
      <w:r>
        <w:t>3. De markt</w:t>
      </w:r>
      <w:bookmarkEnd w:id="9"/>
    </w:p>
    <w:p>
      <w:pPr>
        <w:pStyle w:val="Heading3"/>
      </w:pPr>
      <w:bookmarkStart w:id="10" w:name="_Toc10"/>
      <w:r>
        <w:t>Marktbeschrijving</w:t>
      </w:r>
      <w:bookmarkEnd w:id="10"/>
    </w:p>
    <w:p>
      <w:pPr>
        <w:spacing w:after="100"/>
      </w:pPr>
      <w:r>
        <w:rPr>
          <w:color w:val="6b7280"/>
          <w:sz w:val="22"/>
          <w:szCs w:val="22"/>
          <w:i w:val="1"/>
          <w:iCs w:val="1"/>
        </w:rPr>
        <w:t xml:space="preserve">Beschrijf de markt waarin het bedrijf opereert: omvang, groei, belangrijkste spelers en huidige trends die de vraag beïnvloeden.</w:t>
      </w:r>
    </w:p>
    <w:p>
      <w:pPr>
        <w:pStyle w:val="Heading3"/>
      </w:pPr>
      <w:bookmarkStart w:id="11" w:name="_Toc11"/>
      <w:r>
        <w:t>Marktsegmentatie</w:t>
      </w:r>
      <w:bookmarkEnd w:id="11"/>
    </w:p>
    <w:p>
      <w:pPr>
        <w:spacing w:after="100"/>
      </w:pPr>
      <w:r>
        <w:rPr>
          <w:color w:val="6b7280"/>
          <w:sz w:val="22"/>
          <w:szCs w:val="22"/>
          <w:i w:val="1"/>
          <w:iCs w:val="1"/>
        </w:rPr>
        <w:t xml:space="preserve">Welke duidelijk afgebakende klantgroepen zijn er en wat zijn hun specifieke behoeften en bestedingen.</w:t>
      </w:r>
    </w:p>
    <w:p>
      <w:pPr>
        <w:pStyle w:val="Heading3"/>
      </w:pPr>
      <w:bookmarkStart w:id="12" w:name="_Toc12"/>
      <w:r>
        <w:t>Locatie en distributie</w:t>
      </w:r>
      <w:bookmarkEnd w:id="12"/>
    </w:p>
    <w:p>
      <w:pPr>
        <w:spacing w:after="100"/>
      </w:pPr>
      <w:r>
        <w:rPr>
          <w:color w:val="6b7280"/>
          <w:sz w:val="22"/>
          <w:szCs w:val="22"/>
          <w:i w:val="1"/>
          <w:iCs w:val="1"/>
        </w:rPr>
        <w:t xml:space="preserve">Wat zijn de locatie-kenmerken die voor deze branche belangrijk zijn (zichtbaarheid, bereikbaarheid, parkeren, omgevingsmix).</w:t>
      </w:r>
    </w:p>
    <w:p>
      <w:pPr>
        <w:pStyle w:val="Heading3"/>
      </w:pPr>
      <w:bookmarkStart w:id="13" w:name="_Toc13"/>
      <w:r>
        <w:t>Distributie- en verkoopkanalen</w:t>
      </w:r>
      <w:bookmarkEnd w:id="13"/>
    </w:p>
    <w:p>
      <w:pPr>
        <w:spacing w:after="100"/>
      </w:pPr>
      <w:r>
        <w:rPr>
          <w:color w:val="6b7280"/>
          <w:sz w:val="22"/>
          <w:szCs w:val="22"/>
          <w:i w:val="1"/>
          <w:iCs w:val="1"/>
        </w:rPr>
        <w:t xml:space="preserve">Welke verkoop- en distributiekanalen worden gebruikt om klanten te bereiken (fysiek, online, partners).</w:t>
      </w:r>
    </w:p>
    <w:p>
      <w:pPr>
        <w:pStyle w:val="Heading2"/>
      </w:pPr>
      <w:bookmarkStart w:id="14" w:name="_Toc14"/>
      <w:r>
        <w:t>4. De organisatie</w:t>
      </w:r>
      <w:bookmarkEnd w:id="14"/>
    </w:p>
    <w:p>
      <w:pPr>
        <w:pStyle w:val="Heading3"/>
      </w:pPr>
      <w:bookmarkStart w:id="15" w:name="_Toc15"/>
      <w:r>
        <w:t>Organisatiestructuur</w:t>
      </w:r>
      <w:bookmarkEnd w:id="15"/>
    </w:p>
    <w:p>
      <w:pPr>
        <w:spacing w:after="100"/>
      </w:pPr>
      <w:r>
        <w:rPr>
          <w:color w:val="6b7280"/>
          <w:sz w:val="22"/>
          <w:szCs w:val="22"/>
          <w:i w:val="1"/>
          <w:iCs w:val="1"/>
        </w:rPr>
        <w:t xml:space="preserve">De rechtsvorm, eigendomsverhoudingen en de manier waarop verantwoordelijkheden zijn verdeeld.</w:t>
      </w:r>
    </w:p>
    <w:p>
      <w:pPr>
        <w:pStyle w:val="Heading3"/>
      </w:pPr>
      <w:bookmarkStart w:id="16" w:name="_Toc16"/>
      <w:r>
        <w:t>Bedrijfsprocessen</w:t>
      </w:r>
      <w:bookmarkEnd w:id="16"/>
    </w:p>
    <w:p>
      <w:pPr>
        <w:spacing w:after="100"/>
      </w:pPr>
      <w:r>
        <w:rPr>
          <w:color w:val="6b7280"/>
          <w:sz w:val="22"/>
          <w:szCs w:val="22"/>
          <w:i w:val="1"/>
          <w:iCs w:val="1"/>
        </w:rPr>
        <w:t xml:space="preserve">De kernprocessen van de onderneming: van inkoop tot levering en alle ondersteunende stappen.</w:t>
      </w:r>
    </w:p>
    <w:p>
      <w:pPr>
        <w:pStyle w:val="Heading3"/>
      </w:pPr>
      <w:bookmarkStart w:id="17" w:name="_Toc17"/>
      <w:r>
        <w:t>Inkoop en leveranciers</w:t>
      </w:r>
      <w:bookmarkEnd w:id="17"/>
    </w:p>
    <w:p>
      <w:pPr>
        <w:spacing w:after="100"/>
      </w:pPr>
      <w:r>
        <w:rPr>
          <w:color w:val="6b7280"/>
          <w:sz w:val="22"/>
          <w:szCs w:val="22"/>
          <w:i w:val="1"/>
          <w:iCs w:val="1"/>
        </w:rPr>
        <w:t xml:space="preserve">Hoe en bij wie de onderneming inkoopt; afspraken over prijzen, betaaltermijnen en levertijden.</w:t>
      </w:r>
    </w:p>
    <w:p>
      <w:pPr>
        <w:pStyle w:val="Heading3"/>
      </w:pPr>
      <w:bookmarkStart w:id="18" w:name="_Toc18"/>
      <w:r>
        <w:t>Vergunningen en registraties</w:t>
      </w:r>
      <w:bookmarkEnd w:id="18"/>
    </w:p>
    <w:p>
      <w:pPr>
        <w:spacing w:after="100"/>
      </w:pPr>
      <w:r>
        <w:rPr>
          <w:color w:val="6b7280"/>
          <w:sz w:val="22"/>
          <w:szCs w:val="22"/>
          <w:i w:val="1"/>
          <w:iCs w:val="1"/>
        </w:rPr>
        <w:t xml:space="preserve">Welke vergunningen, registraties of certificeringen nodig zijn om in deze branche te starten.</w:t>
      </w:r>
    </w:p>
    <w:p>
      <w:pPr>
        <w:pStyle w:val="Heading2"/>
      </w:pPr>
      <w:bookmarkStart w:id="19" w:name="_Toc19"/>
      <w:r>
        <w:t>5. Risico's en kwaliteit</w:t>
      </w:r>
      <w:bookmarkEnd w:id="19"/>
    </w:p>
    <w:p>
      <w:pPr>
        <w:pStyle w:val="Heading3"/>
      </w:pPr>
      <w:bookmarkStart w:id="20" w:name="_Toc20"/>
      <w:r>
        <w:t>Risico's</w:t>
      </w:r>
      <w:bookmarkEnd w:id="20"/>
    </w:p>
    <w:p>
      <w:pPr>
        <w:spacing w:after="100"/>
      </w:pPr>
      <w:r>
        <w:rPr>
          <w:color w:val="6b7280"/>
          <w:sz w:val="22"/>
          <w:szCs w:val="22"/>
          <w:i w:val="1"/>
          <w:iCs w:val="1"/>
        </w:rPr>
        <w:t xml:space="preserve">De belangrijkste operationele, markt- en financiële risico's en hoe die worden gemitigeerd.</w:t>
      </w:r>
    </w:p>
    <w:p>
      <w:pPr>
        <w:pStyle w:val="Heading3"/>
      </w:pPr>
      <w:bookmarkStart w:id="21" w:name="_Toc21"/>
      <w:r>
        <w:t>Kwaliteitsborging</w:t>
      </w:r>
      <w:bookmarkEnd w:id="21"/>
    </w:p>
    <w:p>
      <w:pPr>
        <w:spacing w:after="100"/>
      </w:pPr>
      <w:r>
        <w:rPr>
          <w:color w:val="6b7280"/>
          <w:sz w:val="22"/>
          <w:szCs w:val="22"/>
          <w:i w:val="1"/>
          <w:iCs w:val="1"/>
        </w:rPr>
        <w:t xml:space="preserve">Hoe de kwaliteit van producten of diensten wordt geborgd: keurmerken, controles, klantfeedback.</w:t>
      </w:r>
    </w:p>
    <w:p>
      <w:pPr>
        <w:pStyle w:val="Heading3"/>
      </w:pPr>
      <w:bookmarkStart w:id="22" w:name="_Toc22"/>
      <w:r>
        <w:t>Aansprakelijkheden en verzekeringen</w:t>
      </w:r>
      <w:bookmarkEnd w:id="22"/>
    </w:p>
    <w:p>
      <w:pPr>
        <w:spacing w:after="100"/>
      </w:pPr>
      <w:r>
        <w:rPr>
          <w:color w:val="6b7280"/>
          <w:sz w:val="22"/>
          <w:szCs w:val="22"/>
          <w:i w:val="1"/>
          <w:iCs w:val="1"/>
        </w:rPr>
        <w:t xml:space="preserve">Welke aansprakelijkheden meekomen met de activiteiten en welke verzekeringen daarbij passen.</w:t>
      </w:r>
    </w:p>
    <w:p>
      <w:pPr>
        <w:pStyle w:val="Heading2"/>
      </w:pPr>
      <w:bookmarkStart w:id="23" w:name="_Toc23"/>
      <w:r>
        <w:t>6. Strategie</w:t>
      </w:r>
      <w:bookmarkEnd w:id="23"/>
    </w:p>
    <w:p>
      <w:pPr>
        <w:pStyle w:val="Heading3"/>
      </w:pPr>
      <w:bookmarkStart w:id="24" w:name="_Toc24"/>
      <w:r>
        <w:t>SWOT-analyse</w:t>
      </w:r>
      <w:bookmarkEnd w:id="24"/>
    </w:p>
    <w:p>
      <w:pPr>
        <w:spacing w:after="100"/>
      </w:pPr>
      <w:r>
        <w:rPr>
          <w:sz w:val="22"/>
          <w:szCs w:val="22"/>
        </w:rPr>
        <w:t xml:space="preserve">Breng intern (sterktes en zwaktes) en extern (kansen en bedreigingen) in kaart. Houd de lijsten kort en concreet — drie tot vijf punten per kwadrant geeft genoeg context zonder de uitwerking onhandelbaar te maken.</w:t>
      </w:r>
    </w:p>
    <w:p>
      <w:pPr>
        <w:numPr>
          <w:ilvl w:val="0"/>
          <w:numId w:val="6"/>
        </w:numPr>
      </w:pPr>
      <w:r>
        <w:rPr>
          <w:sz w:val="22"/>
          <w:szCs w:val="22"/>
        </w:rPr>
        <w:t xml:space="preserve">Sterktes: wat doet u beter dan vergelijkbare ondernemingen in deze sector.</w:t>
      </w:r>
    </w:p>
    <w:p>
      <w:pPr>
        <w:numPr>
          <w:ilvl w:val="0"/>
          <w:numId w:val="6"/>
        </w:numPr>
      </w:pPr>
      <w:r>
        <w:rPr>
          <w:sz w:val="22"/>
          <w:szCs w:val="22"/>
        </w:rPr>
        <w:t xml:space="preserve">Zwaktes: wat moet anders of beter, eerlijk benoemd.</w:t>
      </w:r>
    </w:p>
    <w:p>
      <w:pPr>
        <w:numPr>
          <w:ilvl w:val="0"/>
          <w:numId w:val="6"/>
        </w:numPr>
      </w:pPr>
      <w:r>
        <w:rPr>
          <w:sz w:val="22"/>
          <w:szCs w:val="22"/>
        </w:rPr>
        <w:t xml:space="preserve">Kansen: branche-trends en marktbewegingen die in uw voordeel werken.</w:t>
      </w:r>
    </w:p>
    <w:p>
      <w:pPr>
        <w:numPr>
          <w:ilvl w:val="0"/>
          <w:numId w:val="6"/>
        </w:numPr>
      </w:pPr>
      <w:r>
        <w:rPr>
          <w:sz w:val="22"/>
          <w:szCs w:val="22"/>
        </w:rPr>
        <w:t xml:space="preserve">Bedreigingen: ontwikkelingen waar u zich tegen moet wapenen.</w:t>
      </w:r>
    </w:p>
    <w:p>
      <w:pPr>
        <w:pStyle w:val="Heading3"/>
      </w:pPr>
      <w:bookmarkStart w:id="25" w:name="_Toc25"/>
      <w:r>
        <w:t>Confrontatiematrix en strategische keuzes</w:t>
      </w:r>
      <w:bookmarkEnd w:id="25"/>
    </w:p>
    <w:p>
      <w:pPr>
        <w:spacing w:after="100"/>
      </w:pPr>
      <w:r>
        <w:rPr>
          <w:sz w:val="22"/>
          <w:szCs w:val="22"/>
        </w:rPr>
        <w:t xml:space="preserve">Leg de SWOT-punten naast elkaar en bepaal welke combinaties tot keuzes leiden: een sterkte die een kans uitbuit, een zwakte die een bedreiging vergroot. De strategische keuzes vormen daarmee de rode draad waarmee marketing, organisatie en financieel plan elkaar versterken.</w:t>
      </w:r>
    </w:p>
    <w:tbl>
      <w:tblGrid>
        <w:gridCol w:w="9637.79527559055" w:type="dxa"/>
      </w:tblGrid>
      <w:tblPr>
        <w:tblW w:w="0" w:type="auto"/>
        <w:tblLayout w:type="autofit"/>
        <w:tblCellMar>
          <w:top w:w="140" w:type="dxa"/>
          <w:left w:w="140" w:type="dxa"/>
          <w:right w:w="140" w:type="dxa"/>
          <w:bottom w:w="140" w:type="dxa"/>
        </w:tblCellMar>
        <w:tblBorders>
          <w:top w:val="single" w:sz="0"/>
          <w:left w:val="single" w:sz="30" w:color="305480"/>
          <w:right w:val="single" w:sz="0"/>
          <w:bottom w:val="single" w:sz="0"/>
        </w:tblBorders>
      </w:tblPr>
      <w:tr>
        <w:trPr/>
        <w:tc>
          <w:tcPr>
            <w:tcW w:w="9637.79527559055" w:type="dxa"/>
            <w:shd w:val="clear" w:fill="EEF5FF"/>
            <w:noWrap/>
          </w:tcPr>
          <w:p>
            <w:pPr>
              <w:spacing w:after="80"/>
            </w:pPr>
            <w:r>
              <w:rPr>
                <w:color w:val="305480"/>
                <w:sz w:val="22"/>
                <w:szCs w:val="22"/>
                <w:b w:val="1"/>
                <w:bCs w:val="1"/>
              </w:rPr>
              <w:t xml:space="preserve">Verder uitwerken in Firmfocus Business Planner</w:t>
            </w:r>
          </w:p>
          <w:p>
            <w:pPr>
              <w:spacing w:after="80"/>
            </w:pPr>
            <w:r>
              <w:rPr>
                <w:sz w:val="21"/>
                <w:szCs w:val="21"/>
              </w:rPr>
              <w:t xml:space="preserve">In Firmfocus Business Planner doorloopt u SWOT, confrontatiematrix en strategische keuzes als afzonderlijke stappen. Branche-cijfers en AI-suggesties helpen u de items concreet te maken in plaats van algemeen.</w:t>
            </w:r>
          </w:p>
          <w:p>
            <w:pPr/>
            <w:r>
              <w:rPr/>
              <w:t xml:space="preserve">Begin met Firmfocus Business Planner: </w:t>
            </w:r>
            <w:hyperlink r:id="rId7" w:history="1">
              <w:r>
                <w:rPr>
                  <w:color w:val="305480"/>
                  <w:b w:val="1"/>
                  <w:bCs w:val="1"/>
                  <w:u w:val="single"/>
                </w:rPr>
                <w:t xml:space="preserve">firmfocus.biz/business-planner</w:t>
              </w:r>
            </w:hyperlink>
          </w:p>
        </w:tc>
      </w:tr>
    </w:tbl>
    <w:p/>
    <w:p>
      <w:pPr>
        <w:pStyle w:val="Heading2"/>
      </w:pPr>
      <w:bookmarkStart w:id="26" w:name="_Toc26"/>
      <w:r>
        <w:t>7. Financieel plan</w:t>
      </w:r>
      <w:bookmarkEnd w:id="26"/>
    </w:p>
    <w:p>
      <w:pPr>
        <w:pStyle w:val="Heading3"/>
      </w:pPr>
      <w:bookmarkStart w:id="27" w:name="_Toc27"/>
      <w:r>
        <w:t>Investerings- en financieringsplan</w:t>
      </w:r>
      <w:bookmarkEnd w:id="27"/>
    </w:p>
    <w:p>
      <w:pPr>
        <w:spacing w:after="100"/>
      </w:pPr>
      <w:r>
        <w:rPr>
          <w:sz w:val="22"/>
          <w:szCs w:val="22"/>
        </w:rPr>
        <w:t xml:space="preserve">Wat heeft u nodig om de onderneming op te starten en hoe wordt dat gefinancierd? Splits investeringen in vaste activa (inrichting, apparatuur, voertuigen) en aanloopkosten (eerste voorraad, marketing, vergunningen). Aan de financieringskant: eigen inbreng, lening, krediet of subsidie.</w:t>
      </w:r>
    </w:p>
    <w:p>
      <w:pPr>
        <w:numPr>
          <w:ilvl w:val="0"/>
          <w:numId w:val="6"/>
        </w:numPr>
      </w:pPr>
      <w:r>
        <w:rPr>
          <w:sz w:val="22"/>
          <w:szCs w:val="22"/>
        </w:rPr>
        <w:t xml:space="preserve">Investeringen: wat koopt u en wat schrijft u in welk tempo af.</w:t>
      </w:r>
    </w:p>
    <w:p>
      <w:pPr>
        <w:numPr>
          <w:ilvl w:val="0"/>
          <w:numId w:val="6"/>
        </w:numPr>
      </w:pPr>
      <w:r>
        <w:rPr>
          <w:sz w:val="22"/>
          <w:szCs w:val="22"/>
        </w:rPr>
        <w:t xml:space="preserve">Werkkapitaal: voorraad, debiteuren en vooruitbetaalde kosten in de eerste maanden.</w:t>
      </w:r>
    </w:p>
    <w:p>
      <w:pPr>
        <w:numPr>
          <w:ilvl w:val="0"/>
          <w:numId w:val="6"/>
        </w:numPr>
      </w:pPr>
      <w:r>
        <w:rPr>
          <w:sz w:val="22"/>
          <w:szCs w:val="22"/>
        </w:rPr>
        <w:t xml:space="preserve">Financiering: eigen geld, bank, microkrediet, familie of partners.</w:t>
      </w:r>
    </w:p>
    <w:p>
      <w:pPr>
        <w:pStyle w:val="Heading3"/>
      </w:pPr>
      <w:bookmarkStart w:id="28" w:name="_Toc28"/>
      <w:r>
        <w:t>Exploitatiebegroting en cashflow</w:t>
      </w:r>
      <w:bookmarkEnd w:id="28"/>
    </w:p>
    <w:p>
      <w:pPr>
        <w:spacing w:after="100"/>
      </w:pPr>
      <w:r>
        <w:rPr>
          <w:sz w:val="22"/>
          <w:szCs w:val="22"/>
        </w:rPr>
        <w:t xml:space="preserve">Een meerjarige winst-en-verliesprognose laat zien wanneer de onderneming break-even draait. De cashflow-prognose laat zien of u in de tussentijd voldoende geld op de rekening houdt — winst maken kan, terwijl u toch maanden in een liquiditeitstekort zit.</w:t>
      </w:r>
    </w:p>
    <w:p>
      <w:pPr>
        <w:numPr>
          <w:ilvl w:val="0"/>
          <w:numId w:val="6"/>
        </w:numPr>
      </w:pPr>
      <w:r>
        <w:rPr>
          <w:sz w:val="22"/>
          <w:szCs w:val="22"/>
        </w:rPr>
        <w:t xml:space="preserve">Omzetprognose op basis van realistische aannames (klanten × besteding × frequentie).</w:t>
      </w:r>
    </w:p>
    <w:p>
      <w:pPr>
        <w:numPr>
          <w:ilvl w:val="0"/>
          <w:numId w:val="6"/>
        </w:numPr>
      </w:pPr>
      <w:r>
        <w:rPr>
          <w:sz w:val="22"/>
          <w:szCs w:val="22"/>
        </w:rPr>
        <w:t xml:space="preserve">Variabele en vaste kosten, met aandacht voor sectortypische posten.</w:t>
      </w:r>
    </w:p>
    <w:p>
      <w:pPr>
        <w:numPr>
          <w:ilvl w:val="0"/>
          <w:numId w:val="6"/>
        </w:numPr>
      </w:pPr>
      <w:r>
        <w:rPr>
          <w:sz w:val="22"/>
          <w:szCs w:val="22"/>
        </w:rPr>
        <w:t xml:space="preserve">Resultaat per jaar plus cashflow per maand voor het eerste jaar.</w:t>
      </w:r>
    </w:p>
    <w:tbl>
      <w:tblGrid>
        <w:gridCol w:w="9637.79527559055" w:type="dxa"/>
      </w:tblGrid>
      <w:tblPr>
        <w:tblW w:w="0" w:type="auto"/>
        <w:tblLayout w:type="autofit"/>
        <w:tblCellMar>
          <w:top w:w="140" w:type="dxa"/>
          <w:left w:w="140" w:type="dxa"/>
          <w:right w:w="140" w:type="dxa"/>
          <w:bottom w:w="140" w:type="dxa"/>
        </w:tblCellMar>
        <w:tblBorders>
          <w:top w:val="single" w:sz="0"/>
          <w:left w:val="single" w:sz="30" w:color="305480"/>
          <w:right w:val="single" w:sz="0"/>
          <w:bottom w:val="single" w:sz="0"/>
        </w:tblBorders>
      </w:tblPr>
      <w:tr>
        <w:trPr/>
        <w:tc>
          <w:tcPr>
            <w:tcW w:w="9637.79527559055" w:type="dxa"/>
            <w:shd w:val="clear" w:fill="EEF5FF"/>
            <w:noWrap/>
          </w:tcPr>
          <w:p>
            <w:pPr>
              <w:spacing w:after="80"/>
            </w:pPr>
            <w:r>
              <w:rPr>
                <w:color w:val="305480"/>
                <w:sz w:val="22"/>
                <w:szCs w:val="22"/>
                <w:b w:val="1"/>
                <w:bCs w:val="1"/>
              </w:rPr>
              <w:t xml:space="preserve">Verder uitwerken in Firmfocus Business Planner</w:t>
            </w:r>
          </w:p>
          <w:p>
            <w:pPr>
              <w:spacing w:after="80"/>
            </w:pPr>
            <w:r>
              <w:rPr>
                <w:sz w:val="21"/>
                <w:szCs w:val="21"/>
              </w:rPr>
              <w:t xml:space="preserve">In Firmfocus Business Planner rekent u investering, financiering, omzet, kosten en cashflow door met behulp van branchecijfers van uw sector. U ziet meteen wanneer de onderneming break-even draait en hoeveel financiering u realistisch nodig heeft.</w:t>
            </w:r>
          </w:p>
          <w:p>
            <w:pPr/>
            <w:r>
              <w:rPr/>
              <w:t xml:space="preserve">Begin met Firmfocus Business Planner: </w:t>
            </w:r>
            <w:hyperlink r:id="rId7" w:history="1">
              <w:r>
                <w:rPr>
                  <w:color w:val="305480"/>
                  <w:b w:val="1"/>
                  <w:bCs w:val="1"/>
                  <w:u w:val="single"/>
                </w:rPr>
                <w:t xml:space="preserve">firmfocus.biz/business-planner</w:t>
              </w:r>
            </w:hyperlink>
          </w:p>
        </w:tc>
      </w:tr>
    </w:tbl>
    <w:p/>
    <w:p>
      <w:pPr>
        <w:pStyle w:val="Heading2"/>
      </w:pPr>
      <w:bookmarkStart w:id="29" w:name="_Toc29"/>
      <w:r>
        <w:t>Verder met uw eigen plan</w:t>
      </w:r>
      <w:bookmarkEnd w:id="29"/>
    </w:p>
    <w:tbl>
      <w:tblGrid>
        <w:gridCol w:w="9637.79527559055" w:type="dxa"/>
      </w:tblGrid>
      <w:tblPr>
        <w:tblW w:w="0" w:type="auto"/>
        <w:tblLayout w:type="autofit"/>
        <w:tblCellMar>
          <w:top w:w="140" w:type="dxa"/>
          <w:left w:w="140" w:type="dxa"/>
          <w:right w:w="140" w:type="dxa"/>
          <w:bottom w:w="140" w:type="dxa"/>
        </w:tblCellMar>
        <w:tblBorders>
          <w:top w:val="single" w:sz="0"/>
          <w:left w:val="single" w:sz="30" w:color="305480"/>
          <w:right w:val="single" w:sz="0"/>
          <w:bottom w:val="single" w:sz="0"/>
        </w:tblBorders>
      </w:tblPr>
      <w:tr>
        <w:trPr/>
        <w:tc>
          <w:tcPr>
            <w:tcW w:w="9637.79527559055" w:type="dxa"/>
            <w:shd w:val="clear" w:fill="EEF5FF"/>
            <w:noWrap/>
          </w:tcPr>
          <w:p>
            <w:pPr>
              <w:spacing w:after="80"/>
            </w:pPr>
            <w:r>
              <w:rPr>
                <w:color w:val="305480"/>
                <w:sz w:val="22"/>
                <w:szCs w:val="22"/>
                <w:b w:val="1"/>
                <w:bCs w:val="1"/>
              </w:rPr>
              <w:t xml:space="preserve">Dit is een sectorvoorbeeld, geen op u toegesneden plan.</w:t>
            </w:r>
          </w:p>
          <w:p>
            <w:pPr>
              <w:spacing w:after="80"/>
            </w:pPr>
            <w:r>
              <w:rPr>
                <w:sz w:val="22"/>
                <w:szCs w:val="22"/>
              </w:rPr>
              <w:t xml:space="preserve">Wilt u uw eigen plan in dezelfde structuur uitwerken, met sector-specifieke AI-suggesties die op uw eigen tekst inhaken en met Word- of PDF-export? Probeer Firmfocus Business Planner 14 dagen gratis. Het account verloopt automatisch — geen creditcard nodig.</w:t>
            </w:r>
          </w:p>
          <w:p>
            <w:pPr/>
            <w:hyperlink r:id="rId7" w:history="1">
              <w:r>
                <w:rPr>
                  <w:color w:val="305480"/>
                  <w:b w:val="1"/>
                  <w:bCs w:val="1"/>
                  <w:u w:val="single"/>
                </w:rPr>
                <w:t xml:space="preserve">firmfocus.biz/business-planner</w:t>
              </w:r>
            </w:hyperlink>
          </w:p>
        </w:tc>
      </w:tr>
    </w:tbl>
    <w:p/>
    <w:p>
      <w:pPr>
        <w:spacing w:before="200"/>
      </w:pPr>
      <w:r>
        <w:rPr>
          <w:color w:val="6b7280"/>
          <w:sz w:val="18"/>
          <w:szCs w:val="18"/>
          <w:i w:val="1"/>
          <w:iCs w:val="1"/>
        </w:rPr>
        <w:t xml:space="preserve">Deze voorbeeldtekst is sectorgenerisch geformuleerd op basis van publieke branche-informatie en bevat geen persoonsgegevens of specifieke bedrijfsnamen. Bedragen, percentages en regelgeving wisselen per situatie; controleer feiten altijd zelf voordat u ze in uw eigen plan opneemt.</w:t>
      </w:r>
    </w:p>
    <w:sectPr>
      <w:pgSz w:orient="portrait" w:w="11905.511811023622" w:h="16837.79527559055"/>
      <w:pgMar w:top="1360.6299212598426" w:right="1133.8582677165352" w:bottom="1360.6299212598426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AB031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30548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color w:val="305480"/>
      <w:sz w:val="26"/>
      <w:szCs w:val="26"/>
      <w:b w:val="1"/>
      <w:bCs w:val="1"/>
    </w:rPr>
  </w:style>
  <w:style w:type="paragraph" w:styleId="Heading3">
    <w:link w:val="Heading3Char"/>
    <w:name w:val="heading 3"/>
    <w:basedOn w:val="Normal"/>
    <w:pPr>
      <w:spacing w:before="120"/>
    </w:pPr>
    <w:rPr>
      <w:color w:val="305480"/>
      <w:sz w:val="23"/>
      <w:szCs w:val="23"/>
      <w:b w:val="1"/>
      <w:bCs w:val="1"/>
    </w:rPr>
  </w:style>
  <w:style w:type="paragraph" w:customStyle="1" w:styleId="Lead">
    <w:name w:val="Lead"/>
    <w:basedOn w:val="Normal"/>
    <w:pPr>
      <w:spacing w:after="120" w:line="336" w:lineRule="auto"/>
    </w:pPr>
  </w:style>
  <w:style w:type="paragraph" w:customStyle="1" w:styleId="Placeholder">
    <w:name w:val="Placeholder"/>
    <w:basedOn w:val="Normal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irmfocus.biz/business-plann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2026-05-10T22:42:20+02:00</dcterms:created>
  <dcterms:modified xsi:type="dcterms:W3CDTF">2026-05-10T22:42:20+02:00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