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Voorbeeld-ondernemingsplan</w:t>
      </w:r>
      <w:bookmarkEnd w:id="0"/>
    </w:p>
    <w:p>
      <w:pPr>
        <w:spacing w:after="200"/>
      </w:pPr>
      <w:r>
        <w:rPr>
          <w:color w:val="6b7280"/>
          <w:sz w:val="18"/>
          <w:szCs w:val="18"/>
          <w:i w:val="1"/>
          <w:iCs w:val="1"/>
        </w:rPr>
        <w:t xml:space="preserve">Sector: bouw van wegen, spoorwegen en kunstwerken (SBI 42.1) · Gegenereerd op 10 mei 2026</w:t>
      </w:r>
    </w:p>
    <w:p>
      <w:pPr>
        <w:spacing w:after="200"/>
      </w:pPr>
      <w:r>
        <w:rPr>
          <w:color w:val="B8873F"/>
          <w:sz w:val="20"/>
          <w:szCs w:val="20"/>
          <w:i w:val="1"/>
          <w:iCs w:val="1"/>
        </w:rPr>
        <w:t xml:space="preserve">Branche-gemiddelde brutomarge: 42.6% (CBS-data, FirmFocus brancheinformatie).</w:t>
      </w:r>
    </w:p>
    <w:p>
      <w:pPr>
        <w:pStyle w:val="Heading2"/>
      </w:pPr>
      <w:bookmarkStart w:id="1" w:name="_Toc1"/>
      <w:r>
        <w:t>1. De onderneming</w:t>
      </w:r>
      <w:bookmarkEnd w:id="1"/>
    </w:p>
    <w:p>
      <w:pPr>
        <w:pStyle w:val="Heading3"/>
      </w:pPr>
      <w:bookmarkStart w:id="2" w:name="_Toc2"/>
      <w:r>
        <w:t>Bedrijfsidee</w:t>
      </w:r>
      <w:bookmarkEnd w:id="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in een paar zinnen wat de onderneming gaat doen, voor welke klanten en welk probleem ze oplost. Maak helder waarom deze onderneming nu bestaansrecht heeft.</w:t>
      </w:r>
    </w:p>
    <w:p>
      <w:pPr>
        <w:pStyle w:val="Heading3"/>
      </w:pPr>
      <w:bookmarkStart w:id="3" w:name="_Toc3"/>
      <w:r>
        <w:t>Missie</w:t>
      </w:r>
      <w:bookmarkEnd w:id="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missie vat samen waar het bedrijf voor staat — kernwaarden, maatschappelijke rol en waar de onderneming op aan te spreken is.</w:t>
      </w:r>
    </w:p>
    <w:p>
      <w:pPr>
        <w:pStyle w:val="Heading3"/>
      </w:pPr>
      <w:bookmarkStart w:id="4" w:name="_Toc4"/>
      <w:r>
        <w:t>Visie</w:t>
      </w:r>
      <w:bookmarkEnd w:id="4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visie kijkt vooruit: hoe ziet de markt er over enkele jaren uit, welke positie wil het bedrijf daarin innemen.</w:t>
      </w:r>
    </w:p>
    <w:p>
      <w:pPr>
        <w:pStyle w:val="Heading2"/>
      </w:pPr>
      <w:bookmarkStart w:id="5" w:name="_Toc5"/>
      <w:r>
        <w:t>2. De ondernemer</w:t>
      </w:r>
      <w:bookmarkEnd w:id="5"/>
    </w:p>
    <w:p>
      <w:pPr>
        <w:pStyle w:val="Heading3"/>
      </w:pPr>
      <w:bookmarkStart w:id="6" w:name="_Toc6"/>
      <w:r>
        <w:t>Sterktes</w:t>
      </w:r>
      <w:bookmarkEnd w:id="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ervaring, kennis, vaardigheden en netwerk maken de ondernemer geschikt voor deze branche.</w:t>
      </w:r>
    </w:p>
    <w:p>
      <w:pPr>
        <w:pStyle w:val="Heading3"/>
      </w:pPr>
      <w:bookmarkStart w:id="7" w:name="_Toc7"/>
      <w:r>
        <w:t>Aandachtspunten</w:t>
      </w:r>
      <w:bookmarkEnd w:id="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Eerlijke verbeterpunten van de ondernemer en hoe die worden ondervangen (cursus, partner, uitbesteden).</w:t>
      </w:r>
    </w:p>
    <w:p>
      <w:pPr>
        <w:pStyle w:val="Heading3"/>
      </w:pPr>
      <w:bookmarkStart w:id="8" w:name="_Toc8"/>
      <w:r>
        <w:t>Branche-ervaring</w:t>
      </w:r>
      <w:bookmarkEnd w:id="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Relevante opleidingen, eerdere werkervaring in deze sector en lopend netwerk dat de start versnelt.</w:t>
      </w:r>
    </w:p>
    <w:p>
      <w:pPr>
        <w:pStyle w:val="Heading2"/>
      </w:pPr>
      <w:bookmarkStart w:id="9" w:name="_Toc9"/>
      <w:r>
        <w:t>3. De markt</w:t>
      </w:r>
      <w:bookmarkEnd w:id="9"/>
    </w:p>
    <w:p>
      <w:pPr>
        <w:pStyle w:val="Heading3"/>
      </w:pPr>
      <w:bookmarkStart w:id="10" w:name="_Toc10"/>
      <w:r>
        <w:t>Marktbeschrijving</w:t>
      </w:r>
      <w:bookmarkEnd w:id="1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de markt waarin het bedrijf opereert: omvang, groei, belangrijkste spelers en huidige trends die de vraag beïnvloeden.</w:t>
      </w:r>
    </w:p>
    <w:p>
      <w:pPr>
        <w:pStyle w:val="Heading3"/>
      </w:pPr>
      <w:bookmarkStart w:id="11" w:name="_Toc11"/>
      <w:r>
        <w:t>Marktsegmentatie</w:t>
      </w:r>
      <w:bookmarkEnd w:id="1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duidelijk afgebakende klantgroepen zijn er en wat zijn hun specifieke behoeften en bestedingen.</w:t>
      </w:r>
    </w:p>
    <w:p>
      <w:pPr>
        <w:pStyle w:val="Heading3"/>
      </w:pPr>
      <w:bookmarkStart w:id="12" w:name="_Toc12"/>
      <w:r>
        <w:t>Locatie en distributie</w:t>
      </w:r>
      <w:bookmarkEnd w:id="1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Wat zijn de locatie-kenmerken die voor deze branche belangrijk zijn (zichtbaarheid, bereikbaarheid, parkeren, omgevingsmix).</w:t>
      </w:r>
    </w:p>
    <w:p>
      <w:pPr>
        <w:pStyle w:val="Heading3"/>
      </w:pPr>
      <w:bookmarkStart w:id="13" w:name="_Toc13"/>
      <w:r>
        <w:t>Distributie- en verkoopkanalen</w:t>
      </w:r>
      <w:bookmarkEnd w:id="1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verkoop- en distributiekanalen worden gebruikt om klanten te bereiken (fysiek, online, partners).</w:t>
      </w:r>
    </w:p>
    <w:p>
      <w:pPr>
        <w:pStyle w:val="Heading2"/>
      </w:pPr>
      <w:bookmarkStart w:id="14" w:name="_Toc14"/>
      <w:r>
        <w:t>4. De organisatie</w:t>
      </w:r>
      <w:bookmarkEnd w:id="14"/>
    </w:p>
    <w:p>
      <w:pPr>
        <w:pStyle w:val="Heading3"/>
      </w:pPr>
      <w:bookmarkStart w:id="15" w:name="_Toc15"/>
      <w:r>
        <w:t>Organisatiestructuur</w:t>
      </w:r>
      <w:bookmarkEnd w:id="15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rechtsvorm, eigendomsverhoudingen en de manier waarop verantwoordelijkheden zijn verdeeld.</w:t>
      </w:r>
    </w:p>
    <w:p>
      <w:pPr>
        <w:pStyle w:val="Heading3"/>
      </w:pPr>
      <w:bookmarkStart w:id="16" w:name="_Toc16"/>
      <w:r>
        <w:t>Bedrijfsprocessen</w:t>
      </w:r>
      <w:bookmarkEnd w:id="1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kernprocessen van de onderneming: van inkoop tot levering en alle ondersteunende stappen.</w:t>
      </w:r>
    </w:p>
    <w:p>
      <w:pPr>
        <w:pStyle w:val="Heading3"/>
      </w:pPr>
      <w:bookmarkStart w:id="17" w:name="_Toc17"/>
      <w:r>
        <w:t>Inkoop en leveranciers</w:t>
      </w:r>
      <w:bookmarkEnd w:id="1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en bij wie de onderneming inkoopt; afspraken over prijzen, betaaltermijnen en levertijden.</w:t>
      </w:r>
    </w:p>
    <w:p>
      <w:pPr>
        <w:pStyle w:val="Heading3"/>
      </w:pPr>
      <w:bookmarkStart w:id="18" w:name="_Toc18"/>
      <w:r>
        <w:t>Vergunningen en registraties</w:t>
      </w:r>
      <w:bookmarkEnd w:id="1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vergunningen, registraties of certificeringen nodig zijn om in deze branche te starten.</w:t>
      </w:r>
    </w:p>
    <w:p>
      <w:pPr>
        <w:pStyle w:val="Heading2"/>
      </w:pPr>
      <w:bookmarkStart w:id="19" w:name="_Toc19"/>
      <w:r>
        <w:t>5. Risico's en kwaliteit</w:t>
      </w:r>
      <w:bookmarkEnd w:id="19"/>
    </w:p>
    <w:p>
      <w:pPr>
        <w:pStyle w:val="Heading3"/>
      </w:pPr>
      <w:bookmarkStart w:id="20" w:name="_Toc20"/>
      <w:r>
        <w:t>Risico's</w:t>
      </w:r>
      <w:bookmarkEnd w:id="2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belangrijkste operationele, markt- en financiële risico's en hoe die worden gemitigeerd.</w:t>
      </w:r>
    </w:p>
    <w:p>
      <w:pPr>
        <w:pStyle w:val="Heading3"/>
      </w:pPr>
      <w:bookmarkStart w:id="21" w:name="_Toc21"/>
      <w:r>
        <w:t>Kwaliteitsborging</w:t>
      </w:r>
      <w:bookmarkEnd w:id="2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de kwaliteit van producten of diensten wordt geborgd: keurmerken, controles, klantfeedback.</w:t>
      </w:r>
    </w:p>
    <w:p>
      <w:pPr>
        <w:pStyle w:val="Heading3"/>
      </w:pPr>
      <w:bookmarkStart w:id="22" w:name="_Toc22"/>
      <w:r>
        <w:t>Aansprakelijkheden en verzekeringen</w:t>
      </w:r>
      <w:bookmarkEnd w:id="2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aansprakelijkheden meekomen met de activiteiten en welke verzekeringen daarbij passen.</w:t>
      </w:r>
    </w:p>
    <w:p>
      <w:pPr>
        <w:pStyle w:val="Heading2"/>
      </w:pPr>
      <w:bookmarkStart w:id="23" w:name="_Toc23"/>
      <w:r>
        <w:t>6. Strategie</w:t>
      </w:r>
      <w:bookmarkEnd w:id="23"/>
    </w:p>
    <w:p>
      <w:pPr>
        <w:pStyle w:val="Heading3"/>
      </w:pPr>
      <w:bookmarkStart w:id="24" w:name="_Toc24"/>
      <w:r>
        <w:t>SWOT-analyse</w:t>
      </w:r>
      <w:bookmarkEnd w:id="24"/>
    </w:p>
    <w:p>
      <w:pPr>
        <w:spacing w:after="100"/>
      </w:pPr>
      <w:r>
        <w:rPr>
          <w:sz w:val="22"/>
          <w:szCs w:val="22"/>
        </w:rPr>
        <w:t xml:space="preserve">Breng intern (sterktes en zwaktes) en extern (kansen en bedreigingen) in kaart. Houd de lijsten kort en concreet — drie tot vijf punten per kwadrant geeft genoeg context zonder de uitwerking onhandelbaar te maken.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Sterktes: wat doet u beter dan vergelijkbare ondernemingen in deze sector.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Zwaktes: wat moet anders of beter, eerlijk benoemd.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Kansen: branche-trends en marktbewegingen die in uw voordeel werken.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Bedreigingen: ontwikkelingen waar u zich tegen moet wapenen.</w:t>
      </w:r>
    </w:p>
    <w:p>
      <w:pPr>
        <w:pStyle w:val="Heading3"/>
      </w:pPr>
      <w:bookmarkStart w:id="25" w:name="_Toc25"/>
      <w:r>
        <w:t>Confrontatiematrix en strategische keuzes</w:t>
      </w:r>
      <w:bookmarkEnd w:id="25"/>
    </w:p>
    <w:p>
      <w:pPr>
        <w:spacing w:after="100"/>
      </w:pPr>
      <w:r>
        <w:rPr>
          <w:sz w:val="22"/>
          <w:szCs w:val="22"/>
        </w:rPr>
        <w:t xml:space="preserve">Leg de SWOT-punten naast elkaar en bepaal welke combinaties tot keuzes leiden: een sterkte die een kans uitbuit, een zwakte die een bedreiging vergroot. De strategische keuzes vormen daarmee de rode draad waarmee marketing, organisatie en financieel plan elkaar versterken.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doorloopt u SWOT, confrontatiematrix en strategische keuzes als afzonderlijke stappen. Branche-cijfers en AI-suggesties helpen u de items concreet te maken in plaats van algemeen.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6" w:name="_Toc26"/>
      <w:r>
        <w:t>7. Financieel plan</w:t>
      </w:r>
      <w:bookmarkEnd w:id="26"/>
    </w:p>
    <w:p>
      <w:pPr>
        <w:pStyle w:val="Heading3"/>
      </w:pPr>
      <w:bookmarkStart w:id="27" w:name="_Toc27"/>
      <w:r>
        <w:t>Investerings- en financieringsplan</w:t>
      </w:r>
      <w:bookmarkEnd w:id="27"/>
    </w:p>
    <w:p>
      <w:pPr>
        <w:spacing w:after="100"/>
      </w:pPr>
      <w:r>
        <w:rPr>
          <w:sz w:val="22"/>
          <w:szCs w:val="22"/>
        </w:rPr>
        <w:t xml:space="preserve">Wat heeft u nodig om de onderneming op te starten en hoe wordt dat gefinancierd? Splits investeringen in vaste activa (inrichting, apparatuur, voertuigen) en aanloopkosten (eerste voorraad, marketing, vergunningen). Aan de financieringskant: eigen inbreng, lening, krediet of subsidie.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Investeringen: wat koopt u en wat schrijft u in welk tempo af.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Werkkapitaal: voorraad, debiteuren en vooruitbetaalde kosten in de eerste maanden.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Financiering: eigen geld, bank, microkrediet, familie of partners.</w:t>
      </w:r>
    </w:p>
    <w:p>
      <w:pPr>
        <w:pStyle w:val="Heading3"/>
      </w:pPr>
      <w:bookmarkStart w:id="28" w:name="_Toc28"/>
      <w:r>
        <w:t>Exploitatiebegroting en cashflow</w:t>
      </w:r>
      <w:bookmarkEnd w:id="28"/>
    </w:p>
    <w:p>
      <w:pPr>
        <w:spacing w:after="100"/>
      </w:pPr>
      <w:r>
        <w:rPr>
          <w:sz w:val="22"/>
          <w:szCs w:val="22"/>
        </w:rPr>
        <w:t xml:space="preserve">Een meerjarige winst-en-verliesprognose laat zien wanneer de onderneming break-even draait. De cashflow-prognose laat zien of u in de tussentijd voldoende geld op de rekening houdt — winst maken kan, terwijl u toch maanden in een liquiditeitstekort zit.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Omzetprognose op basis van realistische aannames (klanten × besteding × frequentie).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Variabele en vaste kosten, met aandacht voor sectortypische posten.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Resultaat per jaar plus cashflow per maand voor het eerste jaar.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rekent u investering, financiering, omzet, kosten en cashflow door met behulp van branchecijfers van uw sector. U ziet meteen wanneer de onderneming break-even draait en hoeveel financiering u realistisch nodig heeft.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9" w:name="_Toc29"/>
      <w:r>
        <w:t>Verder met uw eigen plan</w:t>
      </w:r>
      <w:bookmarkEnd w:id="29"/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Dit is een sectorvoorbeeld, geen op u toegesneden plan.</w:t>
            </w:r>
          </w:p>
          <w:p>
            <w:pPr>
              <w:spacing w:after="80"/>
            </w:pPr>
            <w:r>
              <w:rPr>
                <w:sz w:val="22"/>
                <w:szCs w:val="22"/>
              </w:rPr>
              <w:t xml:space="preserve">Wilt u uw eigen plan in dezelfde structuur uitwerken, met sector-specifieke AI-suggesties die op uw eigen tekst inhaken en met Word- of PDF-export? Probeer Firmfocus Business Planner 14 dagen gratis. Het account verloopt automatisch — geen creditcard nodig.</w:t>
            </w:r>
          </w:p>
          <w:p>
            <w:pPr/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spacing w:before="200"/>
      </w:pPr>
      <w:r>
        <w:rPr>
          <w:color w:val="6b7280"/>
          <w:sz w:val="18"/>
          <w:szCs w:val="18"/>
          <w:i w:val="1"/>
          <w:iCs w:val="1"/>
        </w:rPr>
        <w:t xml:space="preserve">Deze voorbeeldtekst is sectorgenerisch geformuleerd op basis van publieke branche-informatie en bevat geen persoonsgegevens of specifieke bedrijfsnamen. Bedragen, percentages en regelgeving wisselen per situatie; controleer feiten altijd zelf voordat u ze in uw eigen plan opneemt.</w:t>
      </w:r>
    </w:p>
    <w:sectPr>
      <w:pgSz w:orient="portrait" w:w="11905.511811023622" w:h="16837.79527559055"/>
      <w:pgMar w:top="1360.6299212598426" w:right="1133.8582677165352" w:bottom="1360.6299212598426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986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30548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color w:val="30548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before="120"/>
    </w:pPr>
    <w:rPr>
      <w:color w:val="305480"/>
      <w:sz w:val="23"/>
      <w:szCs w:val="23"/>
      <w:b w:val="1"/>
      <w:bCs w:val="1"/>
    </w:rPr>
  </w:style>
  <w:style w:type="paragraph" w:customStyle="1" w:styleId="Lead">
    <w:name w:val="Lead"/>
    <w:basedOn w:val="Normal"/>
    <w:pPr>
      <w:spacing w:after="120" w:line="336" w:lineRule="auto"/>
    </w:pPr>
  </w:style>
  <w:style w:type="paragraph" w:customStyle="1" w:styleId="Placeholder">
    <w:name w:val="Placeholder"/>
    <w:basedOn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rmfocus.biz/business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2026-05-10T22:32:05+02:00</dcterms:created>
  <dcterms:modified xsi:type="dcterms:W3CDTF">2026-05-10T22:32:05+02:00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