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Voorbeeld-ondernemingsplan</w:t>
      </w:r>
      <w:bookmarkEnd w:id="0"/>
    </w:p>
    <w:p>
      <w:pPr>
        <w:spacing w:after="200"/>
      </w:pPr>
      <w:r>
        <w:rPr>
          <w:color w:val="6b7280"/>
          <w:sz w:val="18"/>
          <w:szCs w:val="18"/>
          <w:i w:val="1"/>
          <w:iCs w:val="1"/>
        </w:rPr>
        <w:t xml:space="preserve">Sector: groothandel in voedings- en genotmiddelen (SBI 46.3) · Gegenereerd op 28 september 2026</w:t>
      </w:r>
    </w:p>
    <w:p>
      <w:pPr>
        <w:spacing w:after="120"/>
      </w:pPr>
      <w:r>
        <w:rPr>
          <w:sz w:val="22"/>
          <w:szCs w:val="22"/>
        </w:rPr>
        <w:t xml:space="preserve">De groothandel in voedings- en genotmiddelen richt zich op de inkoop en distributie van diverse eet- en drinkwaren, variërend van verse producten tot verpakte goederen. Deze bedrijven fungeren als een belangrijke schakel tussen producenten en detailhandelaars, zoals supermarkten, speciaalzaken en horecagelegenheden. De focus ligt op het efficiënt beheren van de supply chain, waarbij het essentieel is om producten tijdig en in goede staat bij de afnemers te krijgen.</w:t>
      </w:r>
    </w:p>
    <w:p>
      <w:pPr>
        <w:spacing w:after="120"/>
      </w:pPr>
      <w:r>
        <w:rPr>
          <w:sz w:val="22"/>
          <w:szCs w:val="22"/>
        </w:rPr>
        <w:t xml:space="preserve">Afnemers in deze sector kunnen variëren van grote retailketens tot kleinere zelfstandige winkels en horecaondernemingen. De marktomgeving is dynamisch en wordt beïnvloed door factoren als consumententrends, seizoensinvloeden en regelgeving omtrent voedselveiligheid. Groothandels moeten flexibel inspelen op deze veranderingen en tegelijkertijd concurreren op prijs en kwaliteit.</w:t>
      </w:r>
    </w:p>
    <w:p>
      <w:pPr>
        <w:spacing w:after="120"/>
      </w:pPr>
      <w:r>
        <w:rPr>
          <w:sz w:val="22"/>
          <w:szCs w:val="22"/>
        </w:rPr>
        <w:t xml:space="preserve">De sector kent een sterke concurrentie, waarbij schaalvoordelen en logistieke efficiëntie vaak bepalend zijn voor het succes. Ondernemingen in deze branche moeten voortdurend hun processen optimaliseren en relaties met leveranciers en klanten onderhouden. Dit vraagt om een goed inzicht in marktontwikkelingen en het vermogen om snel op veranderingen te reageren.</w:t>
      </w:r>
    </w:p>
    <w:p>
      <w:pPr>
        <w:spacing w:after="200"/>
      </w:pPr>
      <w:r>
        <w:rPr>
          <w:color w:val="B8873F"/>
          <w:sz w:val="20"/>
          <w:szCs w:val="20"/>
          <w:i w:val="1"/>
          <w:iCs w:val="1"/>
        </w:rPr>
        <w:t xml:space="preserve">Branche-gemiddelde brutomarge: 20.0% (CBS-data, Firmfocus brancheinformatie).</w:t>
      </w:r>
    </w:p>
    <w:p>
      <w:pPr>
        <w:pStyle w:val="Heading2"/>
      </w:pPr>
      <w:bookmarkStart w:id="1" w:name="_Toc1"/>
      <w:r>
        <w:t>1. De onderneming</w:t>
      </w:r>
      <w:bookmarkEnd w:id="1"/>
    </w:p>
    <w:p>
      <w:pPr>
        <w:pStyle w:val="Heading3"/>
      </w:pPr>
      <w:bookmarkStart w:id="2" w:name="_Toc2"/>
      <w:r>
        <w:t>Bedrijfsidee</w:t>
      </w:r>
      <w:bookmarkEnd w:id="2"/>
    </w:p>
    <w:p>
      <w:pPr>
        <w:spacing w:after="100"/>
      </w:pPr>
      <w:r>
        <w:rPr>
          <w:sz w:val="22"/>
          <w:szCs w:val="22"/>
        </w:rPr>
        <w:t xml:space="preserve">Het bedrijf richt zich op de groothandelsverkoop van biologische en duurzame voedingsmiddelen aan supermarkten, speciaalzaken en horecabedrijven. We bieden een breed assortiment aan producten, waaronder verse groenten en fruit, granen, noten, zaden en plantaardige oliën. Ons assortiment wordt zorgvuldig geselecteerd op basis van kwaliteit, herkomst en milieu-impact, waarbij we samenwerken met lokale en internationale leveranciers die aan strenge duurzaamheidscriteria voldoen. Het bedrijf streeft ernaar om klanten te voorzien van hoogwaardige producten die bijdragen aan een verantwoorde consumptie. Door het bieden van flexibele leveringsopties en een uitstekende klantenservice, willen we een betrouwbare partner zijn voor bedrijven die hun assortiment willen verrijken met verantwoorde en gezonde voedingsmiddelen.</w:t>
      </w:r>
    </w:p>
    <w:p>
      <w:pPr>
        <w:pStyle w:val="Heading3"/>
      </w:pPr>
      <w:bookmarkStart w:id="3" w:name="_Toc3"/>
      <w:r>
        <w:t>Missie</w:t>
      </w:r>
      <w:bookmarkEnd w:id="3"/>
    </w:p>
    <w:p>
      <w:pPr>
        <w:spacing w:after="100"/>
      </w:pPr>
      <w:r>
        <w:rPr>
          <w:sz w:val="22"/>
          <w:szCs w:val="22"/>
        </w:rPr>
        <w:t xml:space="preserve">Onze missie is het leveren van hoogwaardige voedings- en genotmiddelen aan groothandels en retailers, waarbij we ons inzetten voor duurzaamheid, betrouwbaarheid en innovatie. We streven naar het minimaliseren van onze ecologische voetafdruk door efficiënte logistieke processen en het gebruik van milieuvriendelijke verpakkingen. Door sterke samenwerkingen met leveranciers garanderen we producten van topkwaliteit. Wij geloven in transparantie en integriteit, en zien onze rol als een schakel die gezonde en verantwoorde keuzes toegankelijk maakt voor de consument.</w:t>
      </w:r>
    </w:p>
    <w:p>
      <w:pPr>
        <w:pStyle w:val="Heading3"/>
      </w:pPr>
      <w:bookmarkStart w:id="4" w:name="_Toc4"/>
      <w:r>
        <w:t>Visie</w:t>
      </w:r>
      <w:bookmarkEnd w:id="4"/>
    </w:p>
    <w:p>
      <w:pPr>
        <w:spacing w:after="100"/>
      </w:pPr>
      <w:r>
        <w:rPr>
          <w:sz w:val="22"/>
          <w:szCs w:val="22"/>
        </w:rPr>
        <w:t xml:space="preserve">Onze visie is om een toonaangevende rol te spelen in de transformatie naar een duurzamere groothandel in voedings- en genotmiddelen. Wij voorzien een toekomst waarin transparantie en duurzaamheid centraal staan in de toeleveringsketen. Door strategische partnerschappen met producenten die zich inzetten voor milieuvriendelijke en ethisch verantwoorde productieprocessen, willen wij de standaard zetten voor verantwoord inkopen. We streven ernaar om innovatieve technologieën te integreren die efficiëntie bevorderen en verspilling minimaliseren. Onze focus ligt op het leveren van hoogwaardige producten die voldoen aan de veranderende eisen van bewuste consumenten, terwijl we tegelijkertijd waarde creëren voor onze klanten en de gemeenschappen waarin we opereren.</w:t>
      </w:r>
    </w:p>
    <w:p>
      <w:pPr>
        <w:pStyle w:val="Heading2"/>
      </w:pPr>
      <w:bookmarkStart w:id="5" w:name="_Toc5"/>
      <w:r>
        <w:t>2. De ondernemer</w:t>
      </w:r>
      <w:bookmarkEnd w:id="5"/>
    </w:p>
    <w:p>
      <w:pPr>
        <w:pStyle w:val="Heading3"/>
      </w:pPr>
      <w:bookmarkStart w:id="6" w:name="_Toc6"/>
      <w:r>
        <w:t>Sterktes</w:t>
      </w:r>
      <w:bookmarkEnd w:id="6"/>
    </w:p>
    <w:p>
      <w:pPr>
        <w:spacing w:after="100"/>
      </w:pPr>
      <w:r>
        <w:rPr>
          <w:sz w:val="22"/>
          <w:szCs w:val="22"/>
        </w:rPr>
        <w:t xml:space="preserve">De ondernemer beschikt over een diepgaande kennis van de voedings- en genotmiddelenmarkt, aangevuld met jarenlange ervaring in de groothandel. Hij heeft een scherp inzicht in consumententrends en weet deze effectief te vertalen naar inkoopstrategieën. Zijn onderhandelingsvaardigheden zijn uitstekend, wat resulteert in gunstige inkoopvoorwaarden en sterke relaties met zowel leveranciers als klanten. Hij is bedreven in logistiek en voorraadbeheer, cruciaal voor het efficiënt beheren van de supply chain in deze dynamische sector. Bovendien heeft de ondernemer een sterk netwerk binnen de industrie, wat de toegang tot nieuwe markten en producten vergemakkelijkt. Zijn vermogen om snel in te spelen op marktveranderingen zorgt voor een concurrentievoordeel en duurzame groei van de onderneming.</w:t>
      </w:r>
    </w:p>
    <w:p>
      <w:pPr>
        <w:pStyle w:val="Heading3"/>
      </w:pPr>
      <w:bookmarkStart w:id="7" w:name="_Toc7"/>
      <w:r>
        <w:t>Aandachtspunten</w:t>
      </w:r>
      <w:bookmarkEnd w:id="7"/>
    </w:p>
    <w:p>
      <w:pPr>
        <w:spacing w:after="100"/>
      </w:pPr>
      <w:r>
        <w:rPr>
          <w:sz w:val="22"/>
          <w:szCs w:val="22"/>
        </w:rPr>
        <w:t xml:space="preserve">Een zwakte van de ondernemer in de groothandel van voedings- en genotmiddelen kan zijn beperkte ervaring met logistieke processen en voorraadbeheer. Deze branche vereist nauwkeurige coördinatie van inkoop, opslag en distributie om bederfelijke goederen tijdig en in optimale conditie bij klanten te krijgen. Onvoldoende kennis van geavanceerde voorraadbeheersystemen kan leiden tot inefficiënties, zoals over- of onderbevoorrading, wat de winstgevendheid en klanttevredenheid kan beïnvloeden. Daarnaast kan een gebrek aan inzicht in veranderende consumententrends en wet- en regelgeving rondom voedselveiligheid de concurrentiepositie verzwakken. Het is essentieel dat de ondernemer investeert in opleiding en technologie om deze zwaktes te overwinnen.</w:t>
      </w:r>
    </w:p>
    <w:p>
      <w:pPr>
        <w:pStyle w:val="Heading3"/>
      </w:pPr>
      <w:bookmarkStart w:id="8" w:name="_Toc8"/>
      <w:r>
        <w:t>Branche-ervaring</w:t>
      </w:r>
      <w:bookmarkEnd w:id="8"/>
    </w:p>
    <w:p>
      <w:pPr>
        <w:spacing w:after="100"/>
      </w:pPr>
      <w:r>
        <w:rPr>
          <w:sz w:val="22"/>
          <w:szCs w:val="22"/>
        </w:rPr>
        <w:t xml:space="preserve">Met meer dan tien jaar ervaring in de groothandel van voedings- en genotmiddelen heb ik uitgebreide kennis opgedaan van distributieprocessen en markttrends. Mijn carrière begon bij een toonaangevend bedrijf waar ik verantwoordelijk was voor voorraadbeheer en inkoopstrategieën. Ik heb een diploma in Bedrijfskunde met een specialisatie in Supply Chain Management, wat mijn vaardigheden in logistiek en efficiëntie heeft versterkt. Daarnaast heb ik een breed netwerk opgebouwd met leveranciers en klanten in de Benelux-regio, wat heeft bijgedragen aan de groei van mijn klantenbestand. Regelmatige deelname aan beurzen zoals de Horecava en Anuga heeft mijn inzicht in consumententrends verdiept en versterkt mijn vermogen om in te spelen op veranderende marktvraag.</w:t>
      </w:r>
    </w:p>
    <w:p>
      <w:pPr>
        <w:pStyle w:val="Heading2"/>
      </w:pPr>
      <w:bookmarkStart w:id="9" w:name="_Toc9"/>
      <w:r>
        <w:t>3. De markt</w:t>
      </w:r>
      <w:bookmarkEnd w:id="9"/>
    </w:p>
    <w:p>
      <w:pPr>
        <w:pStyle w:val="Heading3"/>
      </w:pPr>
      <w:bookmarkStart w:id="10" w:name="_Toc10"/>
      <w:r>
        <w:t>Marktbeschrijving</w:t>
      </w:r>
      <w:bookmarkEnd w:id="10"/>
    </w:p>
    <w:p>
      <w:pPr>
        <w:spacing w:after="100"/>
      </w:pPr>
      <w:r>
        <w:rPr>
          <w:sz w:val="22"/>
          <w:szCs w:val="22"/>
        </w:rPr>
        <w:t xml:space="preserve">De groothandel in voedings- en genotmiddelen is een dynamische en competitieve markt die zich kenmerkt door een aanzienlijke omvang en een continue groei. Deze sector bedient een breed scala aan klanten, variërend van supermarkten en speciaalzaken tot horeca en institutionele afnemers. De groei in deze markt wordt voornamelijk gedreven door veranderende consumententrends, zoals de vraag naar gezonde, duurzame en lokaal geproduceerde producten. Technologische innovaties, zoals geavanceerde logistieke systemen en e-commerce platformen, spelen een cruciale rol in het optimaliseren van de distributiekanalen en het vergroten van de efficiëntie. Belangrijke spelers in deze sector zijn zowel grote internationale groothandelsbedrijven als gespecialiseerde regionale distributeurs. De concurrentie is hevig, met een sterke nadruk op prijs, kwaliteit en betrouwbaarheid van levering. De markt wordt verder beïnvloed door regelgeving op het gebied van voedselveiligheid en duurzaamheid, wat bedrijven dwingt om voortdurend te innoveren en aan te passen.</w:t>
      </w:r>
    </w:p>
    <w:p>
      <w:pPr>
        <w:pStyle w:val="Heading3"/>
      </w:pPr>
      <w:bookmarkStart w:id="11" w:name="_Toc11"/>
      <w:r>
        <w:t>Marktsegmentatie</w:t>
      </w:r>
      <w:bookmarkEnd w:id="11"/>
    </w:p>
    <w:p>
      <w:pPr>
        <w:spacing w:after="100"/>
      </w:pPr>
      <w:r>
        <w:rPr>
          <w:sz w:val="22"/>
          <w:szCs w:val="22"/>
        </w:rPr>
        <w:t xml:space="preserve">In de groothandel van voedings- en genotmiddelen zijn de primaire klantsegmenten: supermarkten, horeca, speciaalzaken en institutionele afnemers zoals ziekenhuizen en scholen. Supermarkten zoeken een breed assortiment en concurrerende prijzen om snel in te spelen op consumententrends. Horecaondernemingen vereisen flexibiliteit in leveringen en producten van hoge kwaliteit om aan de verwachtingen van hun klanten te voldoen. Speciaalzaken richten zich op unieke, vaak lokale of biologische producten en zijn bereid hogere prijzen te betalen voor exclusiviteit en duurzaamheid. Institutionele afnemers hebben behoefte aan betrouwbare leveringen en producten die voldoen aan strenge voedselveiligheidsnormen. Elk segment vraagt om specifieke logistieke oplossingen en servicecontracten, waarbij tijdige levering en productkwaliteit cruciaal zijn voor het opbouwen van langdurige zakelijke relaties.</w:t>
      </w:r>
    </w:p>
    <w:p>
      <w:pPr>
        <w:pStyle w:val="Heading3"/>
      </w:pPr>
      <w:bookmarkStart w:id="12" w:name="_Toc12"/>
      <w:r>
        <w:t>Locatie en distributie</w:t>
      </w:r>
      <w:bookmarkEnd w:id="12"/>
    </w:p>
    <w:p>
      <w:pPr>
        <w:spacing w:after="100"/>
      </w:pPr>
      <w:r>
        <w:rPr>
          <w:sz w:val="22"/>
          <w:szCs w:val="22"/>
        </w:rPr>
        <w:t xml:space="preserve">De locatie van de groothandel in voedings- en genotmiddelen moet strategisch gekozen worden, bij voorkeur in de nabijheid van belangrijke transportknooppunten zoals snelwegen, havens of luchthavens, om de logistieke efficiëntie te maximaliseren. Een centrale ligging in een industriegebied kan voordelig zijn vanwege de aanwezigheid van andere logistieke en ondersteunende diensten. Ruime opslagfaciliteiten zijn essentieel voor het beheren van voorraden en moeten voldoen aan de hygiënische eisen voor voedselveiligheid. Daarnaast is de toegankelijkheid voor vrachtwagens een cruciaal kenmerk, met voldoende laad- en losruimte. Nabijheid tot een grootstedelijk gebied kan tevens gunstig zijn om snel te kunnen inspelen op de vraag van klanten en om een breed klantenbestand te bedienen. Voldoende parkeergelegenheid voor personeel en bezoekers is ook van belang.</w:t>
      </w:r>
    </w:p>
    <w:p>
      <w:pPr>
        <w:pStyle w:val="Heading3"/>
      </w:pPr>
      <w:bookmarkStart w:id="13" w:name="_Toc13"/>
      <w:r>
        <w:t>Distributie- en verkoopkanalen</w:t>
      </w:r>
      <w:bookmarkEnd w:id="13"/>
    </w:p>
    <w:p>
      <w:pPr>
        <w:spacing w:after="100"/>
      </w:pPr>
      <w:r>
        <w:rPr>
          <w:sz w:val="22"/>
          <w:szCs w:val="22"/>
        </w:rPr>
        <w:t xml:space="preserve">In de groothandel in voedings- en genotmiddelen zijn diverse distributie- en verkoopkanalen essentieel voor een effectieve marktpenetratie. Traditionele groothandelskanalen blijven een hoeksteen, waarbij producten direct aan retailers zoals supermarkten, speciaalzaken en horeca worden geleverd. Daarnaast zijn cash-and-carry groothandels een populaire optie, waar klanten producten ter plekke kunnen inkopen. E-commerce platforms winnen aan belang, met groothandels die online bestellingen faciliteren voor zowel B2B als B2C markten. Directe verkoop via eigen verkoopteams aan grote accounts zoals hotelketens en cateringbedrijven is ook gebruikelijk. Logistieke partners spelen een cruciale rol bij de distributie, waarbij gekoelde en droge opslag en transport worden ingezet om de productkwaliteit te waarborgen. Samenwerking met distributeurs kan de reikwijdte vergroten, vooral in regionale markten.</w:t>
      </w:r>
    </w:p>
    <w:p>
      <w:pPr>
        <w:pStyle w:val="Heading2"/>
      </w:pPr>
      <w:bookmarkStart w:id="14" w:name="_Toc14"/>
      <w:r>
        <w:t>4. De organisatie</w:t>
      </w:r>
      <w:bookmarkEnd w:id="14"/>
    </w:p>
    <w:p>
      <w:pPr>
        <w:pStyle w:val="Heading3"/>
      </w:pPr>
      <w:bookmarkStart w:id="15" w:name="_Toc15"/>
      <w:r>
        <w:t>Organisatiestructuur</w:t>
      </w:r>
      <w:bookmarkEnd w:id="15"/>
    </w:p>
    <w:p>
      <w:pPr>
        <w:spacing w:after="100"/>
      </w:pPr>
      <w:r>
        <w:rPr>
          <w:sz w:val="22"/>
          <w:szCs w:val="22"/>
        </w:rPr>
        <w:t xml:space="preserve">De organisatiestructuur voor een groothandel in voedings- en genotmiddelen kan het best worden ingericht als een functionele structuur binnen een besloten vennootschap (BV). Deze structuur omvat verschillende afdelingen die elk verantwoordelijk zijn voor specifieke bedrijfsfuncties. De directie bestaat uit de algemeen directeur, die toezicht houdt op de gehele onderneming en strategische beslissingen neemt. Hieronder vallen de volgende afdelingen:</w:t>
      </w:r>
    </w:p>
    <w:p>
      <w:pPr>
        <w:spacing w:after="100"/>
      </w:pPr>
      <w:r>
        <w:rPr>
          <w:sz w:val="22"/>
          <w:szCs w:val="22"/>
        </w:rPr>
        <w:t xml:space="preserve">1. **Inkoopafdeling**: Verantwoordelijk voor het sourcen van producten en het onderhouden van relaties met leveranciers. Geleid door een inkoopmanager.</w:t>
      </w:r>
    </w:p>
    <w:p>
      <w:pPr>
        <w:spacing w:after="100"/>
      </w:pPr>
      <w:r>
        <w:rPr>
          <w:sz w:val="22"/>
          <w:szCs w:val="22"/>
        </w:rPr>
        <w:t xml:space="preserve">2. **Verkoopafdeling**: Richt zich op het beheren van klantrelaties en het genereren van omzet. Geleid door een verkoopmanager.</w:t>
      </w:r>
    </w:p>
    <w:p>
      <w:pPr>
        <w:spacing w:after="100"/>
      </w:pPr>
      <w:r>
        <w:rPr>
          <w:sz w:val="22"/>
          <w:szCs w:val="22"/>
        </w:rPr>
        <w:t xml:space="preserve">3. **Logistiek en Distributie**: Zorgt voor de efficiënte opslag en levering van producten. Geleid door een logistiek manager.</w:t>
      </w:r>
    </w:p>
    <w:p>
      <w:pPr>
        <w:spacing w:after="100"/>
      </w:pPr>
      <w:r>
        <w:rPr>
          <w:sz w:val="22"/>
          <w:szCs w:val="22"/>
        </w:rPr>
        <w:t xml:space="preserve">4. **Financiële afdeling**: Beheert de boekhouding, budgettering en financiële rapportage. Geleid door een financieel manager.</w:t>
      </w:r>
    </w:p>
    <w:p>
      <w:pPr>
        <w:spacing w:after="100"/>
      </w:pPr>
      <w:r>
        <w:rPr>
          <w:sz w:val="22"/>
          <w:szCs w:val="22"/>
        </w:rPr>
        <w:t xml:space="preserve">5. **Kwaliteitscontrole**: Waarborgt de kwaliteit en veiligheid van de producten. Geleid door een kwaliteitsmanager.</w:t>
      </w:r>
    </w:p>
    <w:p>
      <w:pPr>
        <w:spacing w:after="100"/>
      </w:pPr>
      <w:r>
        <w:rPr>
          <w:sz w:val="22"/>
          <w:szCs w:val="22"/>
        </w:rPr>
        <w:t xml:space="preserve">6. **Human Resources**: Beheert personeelszaken en werving. Geleid door een HR-manager.</w:t>
      </w:r>
    </w:p>
    <w:p>
      <w:pPr>
        <w:spacing w:after="100"/>
      </w:pPr>
      <w:r>
        <w:rPr>
          <w:sz w:val="22"/>
          <w:szCs w:val="22"/>
        </w:rPr>
        <w:t xml:space="preserve">Deze structuur bevordert efficiëntie en specialisatie binnen de onderneming.</w:t>
      </w:r>
    </w:p>
    <w:p>
      <w:pPr>
        <w:pStyle w:val="Heading3"/>
      </w:pPr>
      <w:bookmarkStart w:id="16" w:name="_Toc16"/>
      <w:r>
        <w:t>Bedrijfsprocessen</w:t>
      </w:r>
      <w:bookmarkEnd w:id="16"/>
    </w:p>
    <w:p>
      <w:pPr>
        <w:spacing w:after="100"/>
      </w:pPr>
      <w:r>
        <w:rPr>
          <w:sz w:val="22"/>
          <w:szCs w:val="22"/>
        </w:rPr>
        <w:t xml:space="preserve">In de groothandel van voedings- en genotmiddelen begint het bedrijfsproces met de inkoop. Dit houdt in het selecteren van betrouwbare leveranciers, onderhandelen over prijzen en contractvoorwaarden, en het plaatsen van bestellingen. Het is cruciaal om een goede relatie met leveranciers te onderhouden om de continuïteit van de voorraad te waarborgen.</w:t>
      </w:r>
    </w:p>
    <w:p>
      <w:pPr>
        <w:spacing w:after="100"/>
      </w:pPr>
      <w:r>
        <w:rPr>
          <w:sz w:val="22"/>
          <w:szCs w:val="22"/>
        </w:rPr>
        <w:t xml:space="preserve">Het volgende proces is de productie/dienstverlening, dat zich richt op het ontvangen, opslaan, en beheren van de voorraad in magazijnen. Efficiënt voorraadbeheer is essentieel om bederf te minimaliseren en de productbeschikbaarheid te maximaliseren.</w:t>
      </w:r>
    </w:p>
    <w:p>
      <w:pPr>
        <w:spacing w:after="100"/>
      </w:pPr>
      <w:r>
        <w:rPr>
          <w:sz w:val="22"/>
          <w:szCs w:val="22"/>
        </w:rPr>
        <w:t xml:space="preserve">De verkoopprocessen omvatten het opbouwen en onderhouden van relaties met klanten, het afhandelen van bestellingen, en het verzorgen van een effectieve distributie van producten. Dit vereist een sterke logistieke infrastructuur en een goed georganiseerd verkoopteam om aan de behoeften van klanten te voldoen.</w:t>
      </w:r>
    </w:p>
    <w:p>
      <w:pPr>
        <w:spacing w:after="100"/>
      </w:pPr>
      <w:r>
        <w:rPr>
          <w:sz w:val="22"/>
          <w:szCs w:val="22"/>
        </w:rPr>
        <w:t xml:space="preserve">Administratieve processen ondersteunen de kernactiviteiten door het beheren van financiële transacties, zoals facturatie en debiteurenbeheer, en het bijhouden van voorraadniveaus en verkoopcijfers. Daarnaast is naleving van wettelijke voorschriften en kwaliteitsnormen een integraal onderdeel van het administratieve proces, om de integriteit en reputatie van het bedrijf te waarborgen.</w:t>
      </w:r>
    </w:p>
    <w:p>
      <w:pPr>
        <w:pStyle w:val="Heading3"/>
      </w:pPr>
      <w:bookmarkStart w:id="17" w:name="_Toc17"/>
      <w:r>
        <w:t>Inkoop en leveranciers</w:t>
      </w:r>
      <w:bookmarkEnd w:id="17"/>
    </w:p>
    <w:p>
      <w:pPr>
        <w:spacing w:after="100"/>
      </w:pPr>
      <w:r>
        <w:rPr>
          <w:sz w:val="22"/>
          <w:szCs w:val="22"/>
        </w:rPr>
        <w:t xml:space="preserve">In de groothandel in voedings- en genotmiddelen is een strategische inkoop essentieel voor het succes. We werken samen met een mix van lokale en internationale leveranciers om een breed scala aan producten aan te bieden. Leveranciersselectie is gebaseerd op criteria zoals productkwaliteit, leverbetrouwbaarheid en prijsconcurrentie. Onze inkoopstrategie is gericht op het aangaan van langdurige partnerships om prijsstabiliteit en continuïteit van levering te waarborgen. We maken gebruik van contracten met vaste prijzen en jaarlijkse evaluaties om de prestaties van leveranciers te meten en te verbeteren. Daarnaast hanteren we Just-In-Time inkoop om de voorraadniveaus te optimaliseren en verspilling te minimaliseren. Het onderhouden van een flexibele en betrouwbare supply chain is cruciaal om snel te kunnen inspelen op veranderende marktvraag en trends.</w:t>
      </w:r>
    </w:p>
    <w:p>
      <w:pPr>
        <w:pStyle w:val="Heading3"/>
      </w:pPr>
      <w:bookmarkStart w:id="18" w:name="_Toc18"/>
      <w:r>
        <w:t>Vergunningen en registraties</w:t>
      </w:r>
      <w:bookmarkEnd w:id="18"/>
    </w:p>
    <w:p>
      <w:pPr>
        <w:spacing w:after="100"/>
      </w:pPr>
      <w:r>
        <w:rPr>
          <w:sz w:val="22"/>
          <w:szCs w:val="22"/>
        </w:rPr>
        <w:t xml:space="preserve">Voor een groothandel in voedings- en genotmiddelen (SBI 46.3) is het noodzakelijk om de onderneming in te schrijven bij de Kamer van Koophandel (KvK) en een BTW-nummer aan te vragen bij de Belastingdienst. Daarnaast is registratie bij de Nederlandse Voedsel- en Warenautoriteit (NVWA) vereist voor de handel in levensmiddelen. Afhankelijk van het specifieke productassortiment kunnen aanvullende certificeringen zoals HACCP (Hazard Analysis and Critical Control Points) of een BRC (British Retail Consortium) certificaat noodzakelijk zijn. Voor de import van producten buiten de EU kunnen douanevergunningen en importvergunningen vereist zijn. Indien er biologische producten worden verhandeld, is een Skal-certificering noodzakelijk.</w:t>
      </w:r>
    </w:p>
    <w:p>
      <w:pPr>
        <w:pStyle w:val="Heading2"/>
      </w:pPr>
      <w:bookmarkStart w:id="19" w:name="_Toc19"/>
      <w:r>
        <w:t>5. Risico's en kwaliteit</w:t>
      </w:r>
      <w:bookmarkEnd w:id="19"/>
    </w:p>
    <w:p>
      <w:pPr>
        <w:pStyle w:val="Heading3"/>
      </w:pPr>
      <w:bookmarkStart w:id="20" w:name="_Toc20"/>
      <w:r>
        <w:t>Risico's</w:t>
      </w:r>
      <w:bookmarkEnd w:id="20"/>
    </w:p>
    <w:p>
      <w:pPr>
        <w:spacing w:after="100"/>
      </w:pPr>
      <w:r>
        <w:rPr>
          <w:sz w:val="22"/>
          <w:szCs w:val="22"/>
        </w:rPr>
        <w:t xml:space="preserve">Een van de belangrijkste operationele risico's voor een groothandel in voedings- en genotmiddelen is het verstoringen in de toeleveringsketen. Dit kan voortkomen uit factoren zoals natuurrampen, geopolitieke spanningen of pandemieën, die de beschikbaarheid en levering van producten aanzienlijk kunnen beïnvloeden. Marktgerelateerd is er het risico van veranderende consumententrends en -voorkeuren, die de vraag naar specifieke producten kunnen verminderen en daarmee de omzet negatief beïnvloeden. Daarnaast is er hevige concurrentie binnen de branche, wat kan leiden tot prijsdruk en marges onder druk kan zetten. Financieel gezien is de afhankelijkheid van een beperkt aantal grote klanten een risico, omdat het verlies van een dergelijke klant een aanzienlijke impact kan hebben op de cashflow en winstgevendheid. Ook wisselkoersschommelingen kunnen een financieel risico vormen, vooral wanneer er wordt geïmporteerd of geëxporteerd naar landen buiten de eurozone.</w:t>
      </w:r>
    </w:p>
    <w:p>
      <w:pPr>
        <w:pStyle w:val="Heading3"/>
      </w:pPr>
      <w:bookmarkStart w:id="21" w:name="_Toc21"/>
      <w:r>
        <w:t>Kwaliteitsborging</w:t>
      </w:r>
      <w:bookmarkEnd w:id="21"/>
    </w:p>
    <w:p>
      <w:pPr>
        <w:spacing w:after="100"/>
      </w:pPr>
      <w:r>
        <w:rPr>
          <w:sz w:val="22"/>
          <w:szCs w:val="22"/>
        </w:rPr>
        <w:t xml:space="preserve">In de groothandel van voedings- en genotmiddelen is kwaliteitsborging cruciaal. Wij implementeren ISO 22000 voor voedselveiligheidsbeheer, wat garandeert dat onze processen voldoen aan internationale normen. Daarnaast zijn we HACCP-gecertificeerd, waarbij kritische controlepunten in onze distributieketen worden geïdentificeerd en beheerst. Onze producten dragen erkende keurmerken zoals het BRC-certificaat, wat de naleving van strenge kwaliteitsnormen bevestigt. Interne audits worden regelmatig uitgevoerd om de naleving van deze standaarden te waarborgen. We trainen ons personeel continu in best practices voor hygiëne en kwaliteitsbeheer. Leveranciers worden zorgvuldig geselecteerd en moeten voldoen aan onze strenge kwaliteitscriteria. Door deze maatregelen verzekeren we dat onze producten consistent van hoge kwaliteit en veilig voor consumptie zijn.</w:t>
      </w:r>
    </w:p>
    <w:p>
      <w:pPr>
        <w:pStyle w:val="Heading3"/>
      </w:pPr>
      <w:bookmarkStart w:id="22" w:name="_Toc22"/>
      <w:r>
        <w:t>Aansprakelijkheden en verzekeringen</w:t>
      </w:r>
      <w:bookmarkEnd w:id="22"/>
    </w:p>
    <w:p>
      <w:pPr>
        <w:spacing w:after="100"/>
      </w:pPr>
      <w:r>
        <w:rPr>
          <w:sz w:val="22"/>
          <w:szCs w:val="22"/>
        </w:rPr>
        <w:t xml:space="preserve">In de groothandel in voedings- en genotmiddelen zijn er diverse aansprakelijkheden en verzekeringen van belang. Allereerst is er productaansprakelijkheid, waarbij de onderneming verantwoordelijk kan worden gehouden voor schade veroorzaakt door defecte of schadelijke producten. Een productaansprakelijkheidsverzekering is essentieel om financiële risico’s te dekken. Daarnaast is een bedrijfsaansprakelijkheidsverzekering cruciaal om schadeclaims van derden te dekken, bijvoorbeeld door ongelukken op het terrein van het bedrijf. Transportverzekeringen zijn ook belangrijk, gezien de logistieke activiteiten in deze branche, om verlies of schade tijdens het vervoer van goederen te dekken. Ten slotte kunnen rechtsbijstandverzekeringen nuttig zijn om juridische ondersteuning te bieden bij geschillen met leveranciers of klanten. Zorg ervoor dat alle verzekeringen zijn afgestemd op de specifieke risico’s van de onderneming.</w:t>
      </w:r>
    </w:p>
    <w:p>
      <w:pPr>
        <w:pStyle w:val="Heading2"/>
      </w:pPr>
      <w:bookmarkStart w:id="23" w:name="_Toc23"/>
      <w:r>
        <w:t>6. Strategie</w:t>
      </w:r>
      <w:bookmarkEnd w:id="23"/>
    </w:p>
    <w:p>
      <w:pPr>
        <w:pStyle w:val="Heading3"/>
      </w:pPr>
      <w:bookmarkStart w:id="24" w:name="_Toc24"/>
      <w:r>
        <w:t>SWOT-analyse</w:t>
      </w:r>
      <w:bookmarkEnd w:id="24"/>
    </w:p>
    <w:p>
      <w:pPr>
        <w:spacing w:after="100"/>
      </w:pPr>
      <w:r>
        <w:rPr>
          <w:sz w:val="22"/>
          <w:szCs w:val="22"/>
        </w:rPr>
        <w:t xml:space="preserve">Breng intern (sterktes en zwaktes) en extern (kansen en bedreigingen) in kaart. Houd de lijsten kort en concreet: drie tot vijf punten per kwadrant geeft genoeg context zonder de uitwerking onhandelbaar te maken.</w:t>
      </w:r>
    </w:p>
    <w:p>
      <w:pPr>
        <w:numPr>
          <w:ilvl w:val="0"/>
          <w:numId w:val="6"/>
        </w:numPr>
      </w:pPr>
      <w:r>
        <w:rPr>
          <w:sz w:val="22"/>
          <w:szCs w:val="22"/>
        </w:rPr>
        <w:t xml:space="preserve">Sterktes: wat doet u beter dan vergelijkbare ondernemingen in deze sector.</w:t>
      </w:r>
    </w:p>
    <w:p>
      <w:pPr>
        <w:numPr>
          <w:ilvl w:val="0"/>
          <w:numId w:val="6"/>
        </w:numPr>
      </w:pPr>
      <w:r>
        <w:rPr>
          <w:sz w:val="22"/>
          <w:szCs w:val="22"/>
        </w:rPr>
        <w:t xml:space="preserve">Zwaktes: wat moet anders of beter, eerlijk benoemd.</w:t>
      </w:r>
    </w:p>
    <w:p>
      <w:pPr>
        <w:numPr>
          <w:ilvl w:val="0"/>
          <w:numId w:val="6"/>
        </w:numPr>
      </w:pPr>
      <w:r>
        <w:rPr>
          <w:sz w:val="22"/>
          <w:szCs w:val="22"/>
        </w:rPr>
        <w:t xml:space="preserve">Kansen: branche-trends en marktbewegingen die in uw voordeel werken.</w:t>
      </w:r>
    </w:p>
    <w:p>
      <w:pPr>
        <w:numPr>
          <w:ilvl w:val="0"/>
          <w:numId w:val="6"/>
        </w:numPr>
      </w:pPr>
      <w:r>
        <w:rPr>
          <w:sz w:val="22"/>
          <w:szCs w:val="22"/>
        </w:rPr>
        <w:t xml:space="preserve">Bedreigingen: ontwikkelingen waar u zich tegen moet wapenen.</w:t>
      </w:r>
    </w:p>
    <w:p>
      <w:pPr>
        <w:pStyle w:val="Heading3"/>
      </w:pPr>
      <w:bookmarkStart w:id="25" w:name="_Toc25"/>
      <w:r>
        <w:t>Confrontatiematrix en strategische keuzes</w:t>
      </w:r>
      <w:bookmarkEnd w:id="25"/>
    </w:p>
    <w:p>
      <w:pPr>
        <w:spacing w:after="100"/>
      </w:pPr>
      <w:r>
        <w:rPr>
          <w:sz w:val="22"/>
          <w:szCs w:val="22"/>
        </w:rPr>
        <w:t xml:space="preserve">Leg de SWOT-punten naast elkaar en bepaal welke combinaties tot keuzes leiden: een sterkte die een kans uitbuit, een zwakte die een bedreiging vergroot. De strategische keuzes vormen daarmee de rode draad waarmee marketing, organisatie en financieel plan elkaar versterken.</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doorloopt u SWOT, confrontatiematrix en strategische keuzes als afzonderlijke stappen. Branche-cijfers en AI-suggesties helpen u de items concreet te maken in plaats van algemeen.</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6" w:name="_Toc26"/>
      <w:r>
        <w:t>7. Financieel plan</w:t>
      </w:r>
      <w:bookmarkEnd w:id="26"/>
    </w:p>
    <w:p>
      <w:pPr>
        <w:pStyle w:val="Heading3"/>
      </w:pPr>
      <w:bookmarkStart w:id="27" w:name="_Toc27"/>
      <w:r>
        <w:t>Investerings- en financieringsplan</w:t>
      </w:r>
      <w:bookmarkEnd w:id="27"/>
    </w:p>
    <w:p>
      <w:pPr>
        <w:spacing w:after="100"/>
      </w:pPr>
      <w:r>
        <w:rPr>
          <w:sz w:val="22"/>
          <w:szCs w:val="22"/>
        </w:rPr>
        <w:t xml:space="preserve">Wat heeft u nodig om de onderneming op te starten en hoe wordt dat gefinancierd? Splits investeringen in vaste activa (inrichting, apparatuur, voertuigen) en aanloopkosten (eerste voorraad, marketing, vergunningen). Aan de financieringskant: eigen inbreng, lening, krediet of subsidie.</w:t>
      </w:r>
    </w:p>
    <w:p>
      <w:pPr>
        <w:numPr>
          <w:ilvl w:val="0"/>
          <w:numId w:val="6"/>
        </w:numPr>
      </w:pPr>
      <w:r>
        <w:rPr>
          <w:sz w:val="22"/>
          <w:szCs w:val="22"/>
        </w:rPr>
        <w:t xml:space="preserve">Investeringen: wat koopt u en wat schrijft u in welk tempo af.</w:t>
      </w:r>
    </w:p>
    <w:p>
      <w:pPr>
        <w:numPr>
          <w:ilvl w:val="0"/>
          <w:numId w:val="6"/>
        </w:numPr>
      </w:pPr>
      <w:r>
        <w:rPr>
          <w:sz w:val="22"/>
          <w:szCs w:val="22"/>
        </w:rPr>
        <w:t xml:space="preserve">Werkkapitaal: voorraad, debiteuren en vooruitbetaalde kosten in de eerste maanden.</w:t>
      </w:r>
    </w:p>
    <w:p>
      <w:pPr>
        <w:numPr>
          <w:ilvl w:val="0"/>
          <w:numId w:val="6"/>
        </w:numPr>
      </w:pPr>
      <w:r>
        <w:rPr>
          <w:sz w:val="22"/>
          <w:szCs w:val="22"/>
        </w:rPr>
        <w:t xml:space="preserve">Financiering: eigen geld, bank, microkrediet, familie of partners.</w:t>
      </w:r>
    </w:p>
    <w:p>
      <w:pPr>
        <w:pStyle w:val="Heading3"/>
      </w:pPr>
      <w:bookmarkStart w:id="28" w:name="_Toc28"/>
      <w:r>
        <w:t>Exploitatiebegroting en cashflow</w:t>
      </w:r>
      <w:bookmarkEnd w:id="28"/>
    </w:p>
    <w:p>
      <w:pPr>
        <w:spacing w:after="100"/>
      </w:pPr>
      <w:r>
        <w:rPr>
          <w:sz w:val="22"/>
          <w:szCs w:val="22"/>
        </w:rPr>
        <w:t xml:space="preserve">Een meerjarige winst-en-verliesprognose laat zien wanneer de onderneming break-even draait. De cashflow-prognose laat zien of u in de tussentijd voldoende geld op de rekening houdt: winst maken kan, terwijl u toch maanden in een liquiditeitstekort zit.</w:t>
      </w:r>
    </w:p>
    <w:p>
      <w:pPr>
        <w:numPr>
          <w:ilvl w:val="0"/>
          <w:numId w:val="6"/>
        </w:numPr>
      </w:pPr>
      <w:r>
        <w:rPr>
          <w:sz w:val="22"/>
          <w:szCs w:val="22"/>
        </w:rPr>
        <w:t xml:space="preserve">Omzetprognose op basis van realistische aannames (klanten × besteding × frequentie).</w:t>
      </w:r>
    </w:p>
    <w:p>
      <w:pPr>
        <w:numPr>
          <w:ilvl w:val="0"/>
          <w:numId w:val="6"/>
        </w:numPr>
      </w:pPr>
      <w:r>
        <w:rPr>
          <w:sz w:val="22"/>
          <w:szCs w:val="22"/>
        </w:rPr>
        <w:t xml:space="preserve">Variabele en vaste kosten, met aandacht voor sectortypische posten.</w:t>
      </w:r>
    </w:p>
    <w:p>
      <w:pPr>
        <w:numPr>
          <w:ilvl w:val="0"/>
          <w:numId w:val="6"/>
        </w:numPr>
      </w:pPr>
      <w:r>
        <w:rPr>
          <w:sz w:val="22"/>
          <w:szCs w:val="22"/>
        </w:rPr>
        <w:t xml:space="preserve">Resultaat per jaar plus cashflow per maand voor het eerste jaar.</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rekent u investering, financiering, omzet, kosten en cashflow door met behulp van branchecijfers van uw sector. U ziet meteen wanneer de onderneming break-even draait en hoeveel financiering u realistisch nodig heeft.</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9" w:name="_Toc29"/>
      <w:r>
        <w:t>Verder met uw eigen plan</w:t>
      </w:r>
      <w:bookmarkEnd w:id="29"/>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Dit is een sectorvoorbeeld, geen op u toegesneden plan.</w:t>
            </w:r>
          </w:p>
          <w:p>
            <w:pPr>
              <w:spacing w:after="80"/>
            </w:pPr>
            <w:r>
              <w:rPr>
                <w:sz w:val="22"/>
                <w:szCs w:val="22"/>
              </w:rPr>
              <w:t xml:space="preserve">Wilt u uw eigen plan in dezelfde structuur uitwerken, met sectorcijfers en AI-suggesties die op uw eigen tekst inhaken en met export naar Word en PDF? Start dan vandaag in de Firmfocus Business Planner:</w:t>
            </w:r>
          </w:p>
          <w:p>
            <w:pPr/>
            <w:hyperlink r:id="rId7" w:history="1">
              <w:r>
                <w:rPr>
                  <w:color w:val="305480"/>
                  <w:b w:val="1"/>
                  <w:bCs w:val="1"/>
                  <w:u w:val="single"/>
                </w:rPr>
                <w:t xml:space="preserve">firmfocus.biz/business-planner-start</w:t>
              </w:r>
            </w:hyperlink>
          </w:p>
        </w:tc>
      </w:tr>
    </w:tbl>
    <w:p/>
    <w:p>
      <w:pPr>
        <w:spacing w:before="200"/>
      </w:pPr>
      <w:r>
        <w:rPr>
          <w:color w:val="6b7280"/>
          <w:sz w:val="18"/>
          <w:szCs w:val="18"/>
          <w:i w:val="1"/>
          <w:iCs w:val="1"/>
        </w:rPr>
        <w:t xml:space="preserve">Deze voorbeeldtekst is sectorgenerisch geformuleerd op basis van publieke branche-informatie en bevat geen persoonsgegevens of specifieke bedrijfsnamen. Bedragen, percentages en regelgeving wisselen per situatie; controleer feiten altijd zelf voordat u ze in uw eigen plan opneemt.</w:t>
      </w:r>
    </w:p>
    <w:sectPr>
      <w:pgSz w:orient="portrait" w:w="11905.511811023622" w:h="16837.79527559055"/>
      <w:pgMar w:top="1360.6299212598426" w:right="1133.8582677165352" w:bottom="1360.6299212598426"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nsid w:val="6B6F57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305480"/>
      <w:sz w:val="36"/>
      <w:szCs w:val="36"/>
      <w:b w:val="1"/>
      <w:bCs w:val="1"/>
    </w:rPr>
  </w:style>
  <w:style w:type="paragraph" w:styleId="Heading2">
    <w:link w:val="Heading2Char"/>
    <w:name w:val="heading 2"/>
    <w:basedOn w:val="Normal"/>
    <w:pPr>
      <w:spacing w:before="200"/>
    </w:pPr>
    <w:rPr>
      <w:color w:val="305480"/>
      <w:sz w:val="26"/>
      <w:szCs w:val="26"/>
      <w:b w:val="1"/>
      <w:bCs w:val="1"/>
    </w:rPr>
  </w:style>
  <w:style w:type="paragraph" w:styleId="Heading3">
    <w:link w:val="Heading3Char"/>
    <w:name w:val="heading 3"/>
    <w:basedOn w:val="Normal"/>
    <w:pPr>
      <w:spacing w:before="120"/>
    </w:pPr>
    <w:rPr>
      <w:color w:val="305480"/>
      <w:sz w:val="23"/>
      <w:szCs w:val="23"/>
      <w:b w:val="1"/>
      <w:bCs w:val="1"/>
    </w:rPr>
  </w:style>
  <w:style w:type="paragraph" w:customStyle="1" w:styleId="Lead">
    <w:name w:val="Lead"/>
    <w:basedOn w:val="Normal"/>
    <w:pPr>
      <w:spacing w:after="120" w:line="336" w:lineRule="auto"/>
    </w:pPr>
  </w:style>
  <w:style w:type="paragraph" w:customStyle="1" w:styleId="Placeholder">
    <w:name w:val="Placeholder"/>
    <w:basedOn w:val="Normal"/>
    <w:pPr>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irmfocus.biz/business-planner-start?utm_source=voorbeeld-download&amp;utm_medium=word&amp;utm_campaign=sectorfunnel&amp;utm_content=46.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2026-09-28T07:34:55+02:00</dcterms:created>
  <dcterms:modified xsi:type="dcterms:W3CDTF">2026-09-28T07:34:55+02:00</dcterms:modified>
</cp:coreProperties>
</file>

<file path=docProps/custom.xml><?xml version="1.0" encoding="utf-8"?>
<Properties xmlns="http://schemas.openxmlformats.org/officeDocument/2006/custom-properties" xmlns:vt="http://schemas.openxmlformats.org/officeDocument/2006/docPropsVTypes"/>
</file>