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afval en schroot (SBI 46.77) · Gegenereerd op 10 mei 2026</w:t>
      </w:r>
    </w:p>
    <w:p>
      <w:pPr>
        <w:spacing w:after="120"/>
      </w:pPr>
      <w:r>
        <w:rPr>
          <w:sz w:val="22"/>
          <w:szCs w:val="22"/>
        </w:rPr>
        <w:t xml:space="preserve">Ondernemingen in de groothandel in afval en schroot houden zich bezig met de inkoop, verwerking en doorverkoop van verschillende soorten afvalmaterialen, zoals metalen, papier, plastic en elektronisch afval. Deze bedrijven fungeren als schakel tussen afvalproducerende bedrijven en recyclingbedrijven, waarbij ze waardevolle materialen uit afvalstromen halen en deze terugbrengen in de productieketen.</w:t>
      </w:r>
    </w:p>
    <w:p>
      <w:pPr>
        <w:spacing w:after="120"/>
      </w:pPr>
      <w:r>
        <w:rPr>
          <w:sz w:val="22"/>
          <w:szCs w:val="22"/>
        </w:rPr>
        <w:t xml:space="preserve">De afnemers van deze bedrijven zijn vaak recyclingbedrijven die de materialen verder verwerken tot nieuwe grondstoffen. Daarnaast kunnen ook producenten van gerecycleerde producten en overheidsinstanties die verantwoordelijk zijn voor afvalbeheer tot de klantenkring behoren. De activiteiten van deze ondernemingen spelen een essentiële rol in de circulaire economie door het bevorderen van hergebruik en het verminderen van de hoeveelheid afval die naar stortplaatsen gaat.</w:t>
      </w:r>
    </w:p>
    <w:p>
      <w:pPr>
        <w:spacing w:after="120"/>
      </w:pPr>
      <w:r>
        <w:rPr>
          <w:sz w:val="22"/>
          <w:szCs w:val="22"/>
        </w:rPr>
        <w:t xml:space="preserve">De marktomgeving voor deze sector is dynamisch en wordt beïnvloed door zowel lokale als internationale regelgeving op het gebied van milieu en afvalbeheer. Fluctuaties in grondstofprijzen en veranderende wetgeving kunnen van invloed zijn op de bedrijfsvoering. Daarnaast zijn technologische innovaties in recyclingmethoden en veranderende consumentenvoorkeuren belangrijke factoren die de vraag naar gerecycleerde materialen beïnvloeden. Bedrijven in deze sector moeten daarom voortdurend inspelen op deze veranderingen om concurrerend te blijven.</w:t>
      </w:r>
    </w:p>
    <w:p>
      <w:pPr>
        <w:spacing w:after="200"/>
      </w:pPr>
      <w:r>
        <w:rPr>
          <w:color w:val="B8873F"/>
          <w:sz w:val="20"/>
          <w:szCs w:val="20"/>
          <w:i w:val="1"/>
          <w:iCs w:val="1"/>
        </w:rPr>
        <w:t xml:space="preserve">Branche-gemiddelde brutomarge: 17.1%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color w:val="6b7280"/>
          <w:sz w:val="22"/>
          <w:szCs w:val="22"/>
          <w:i w:val="1"/>
          <w:iCs w:val="1"/>
        </w:rPr>
        <w:t xml:space="preserve">Beschrijf in een paar zinnen wat de onderneming gaat doen, voor welke klanten en welk probleem ze oplost. Maak helder waarom deze onderneming nu bestaansrecht heeft.</w:t>
      </w:r>
    </w:p>
    <w:p>
      <w:pPr>
        <w:pStyle w:val="Heading3"/>
      </w:pPr>
      <w:bookmarkStart w:id="3" w:name="_Toc3"/>
      <w:r>
        <w:t>Missie</w:t>
      </w:r>
      <w:bookmarkEnd w:id="3"/>
    </w:p>
    <w:p>
      <w:pPr>
        <w:spacing w:after="100"/>
      </w:pPr>
      <w:r>
        <w:rPr>
          <w:color w:val="6b7280"/>
          <w:sz w:val="22"/>
          <w:szCs w:val="22"/>
          <w:i w:val="1"/>
          <w:iCs w:val="1"/>
        </w:rPr>
        <w:t xml:space="preserve">De missie vat samen waar het bedrijf voor staat — kernwaarden, maatschappelijke rol en waar de onderneming op aan te spreken is.</w:t>
      </w:r>
    </w:p>
    <w:p>
      <w:pPr>
        <w:pStyle w:val="Heading3"/>
      </w:pPr>
      <w:bookmarkStart w:id="4" w:name="_Toc4"/>
      <w:r>
        <w:t>Visie</w:t>
      </w:r>
      <w:bookmarkEnd w:id="4"/>
    </w:p>
    <w:p>
      <w:pPr>
        <w:spacing w:after="100"/>
      </w:pPr>
      <w:r>
        <w:rPr>
          <w:color w:val="6b7280"/>
          <w:sz w:val="22"/>
          <w:szCs w:val="22"/>
          <w:i w:val="1"/>
          <w:iCs w:val="1"/>
        </w:rPr>
        <w:t xml:space="preserve">De visie kijkt vooruit: hoe ziet de markt er over enkele jaren uit, welke positie wil het bedrijf daarin innemen.</w:t>
      </w:r>
    </w:p>
    <w:p>
      <w:pPr>
        <w:pStyle w:val="Heading2"/>
      </w:pPr>
      <w:bookmarkStart w:id="5" w:name="_Toc5"/>
      <w:r>
        <w:t>2. De ondernemer</w:t>
      </w:r>
      <w:bookmarkEnd w:id="5"/>
    </w:p>
    <w:p>
      <w:pPr>
        <w:pStyle w:val="Heading3"/>
      </w:pPr>
      <w:bookmarkStart w:id="6" w:name="_Toc6"/>
      <w:r>
        <w:t>Sterktes</w:t>
      </w:r>
      <w:bookmarkEnd w:id="6"/>
    </w:p>
    <w:p>
      <w:pPr>
        <w:spacing w:after="100"/>
      </w:pPr>
      <w:r>
        <w:rPr>
          <w:color w:val="6b7280"/>
          <w:sz w:val="22"/>
          <w:szCs w:val="22"/>
          <w:i w:val="1"/>
          <w:iCs w:val="1"/>
        </w:rPr>
        <w:t xml:space="preserve">Welke ervaring, kennis, vaardigheden en netwerk maken de ondernemer geschikt voor deze branche.</w:t>
      </w:r>
    </w:p>
    <w:p>
      <w:pPr>
        <w:pStyle w:val="Heading3"/>
      </w:pPr>
      <w:bookmarkStart w:id="7" w:name="_Toc7"/>
      <w:r>
        <w:t>Aandachtspunten</w:t>
      </w:r>
      <w:bookmarkEnd w:id="7"/>
    </w:p>
    <w:p>
      <w:pPr>
        <w:spacing w:after="100"/>
      </w:pPr>
      <w:r>
        <w:rPr>
          <w:color w:val="6b7280"/>
          <w:sz w:val="22"/>
          <w:szCs w:val="22"/>
          <w:i w:val="1"/>
          <w:iCs w:val="1"/>
        </w:rPr>
        <w:t xml:space="preserve">Eerlijke verbeterpunten van de ondernemer en hoe die worden ondervangen (cursus, partner, uitbesteden).</w:t>
      </w:r>
    </w:p>
    <w:p>
      <w:pPr>
        <w:pStyle w:val="Heading3"/>
      </w:pPr>
      <w:bookmarkStart w:id="8" w:name="_Toc8"/>
      <w:r>
        <w:t>Branche-ervaring</w:t>
      </w:r>
      <w:bookmarkEnd w:id="8"/>
    </w:p>
    <w:p>
      <w:pPr>
        <w:spacing w:after="100"/>
      </w:pPr>
      <w:r>
        <w:rPr>
          <w:color w:val="6b7280"/>
          <w:sz w:val="22"/>
          <w:szCs w:val="22"/>
          <w:i w:val="1"/>
          <w:iCs w:val="1"/>
        </w:rPr>
        <w:t xml:space="preserve">Relevante opleidingen, eerdere werkervaring in deze sector en lopend netwerk dat de start versnelt.</w:t>
      </w:r>
    </w:p>
    <w:p>
      <w:pPr>
        <w:pStyle w:val="Heading2"/>
      </w:pPr>
      <w:bookmarkStart w:id="9" w:name="_Toc9"/>
      <w:r>
        <w:t>3. De markt</w:t>
      </w:r>
      <w:bookmarkEnd w:id="9"/>
    </w:p>
    <w:p>
      <w:pPr>
        <w:pStyle w:val="Heading3"/>
      </w:pPr>
      <w:bookmarkStart w:id="10" w:name="_Toc10"/>
      <w:r>
        <w:t>Marktbeschrijving</w:t>
      </w:r>
      <w:bookmarkEnd w:id="10"/>
    </w:p>
    <w:p>
      <w:pPr>
        <w:spacing w:after="100"/>
      </w:pPr>
      <w:r>
        <w:rPr>
          <w:color w:val="6b7280"/>
          <w:sz w:val="22"/>
          <w:szCs w:val="22"/>
          <w:i w:val="1"/>
          <w:iCs w:val="1"/>
        </w:rPr>
        <w:t xml:space="preserve">Beschrijf de markt waarin het bedrijf opereert: omvang, groei, belangrijkste spelers en huidige trends die de vraag beïnvloeden.</w:t>
      </w:r>
    </w:p>
    <w:p>
      <w:pPr>
        <w:pStyle w:val="Heading3"/>
      </w:pPr>
      <w:bookmarkStart w:id="11" w:name="_Toc11"/>
      <w:r>
        <w:t>Marktsegmentatie</w:t>
      </w:r>
      <w:bookmarkEnd w:id="11"/>
    </w:p>
    <w:p>
      <w:pPr>
        <w:spacing w:after="100"/>
      </w:pPr>
      <w:r>
        <w:rPr>
          <w:color w:val="6b7280"/>
          <w:sz w:val="22"/>
          <w:szCs w:val="22"/>
          <w:i w:val="1"/>
          <w:iCs w:val="1"/>
        </w:rPr>
        <w:t xml:space="preserve">Welke duidelijk afgebakende klantgroepen zijn er en wat zijn hun specifieke behoeften en bestedingen.</w:t>
      </w:r>
    </w:p>
    <w:p>
      <w:pPr>
        <w:pStyle w:val="Heading3"/>
      </w:pPr>
      <w:bookmarkStart w:id="12" w:name="_Toc12"/>
      <w:r>
        <w:t>Locatie en distributie</w:t>
      </w:r>
      <w:bookmarkEnd w:id="12"/>
    </w:p>
    <w:p>
      <w:pPr>
        <w:spacing w:after="100"/>
      </w:pPr>
      <w:r>
        <w:rPr>
          <w:color w:val="6b7280"/>
          <w:sz w:val="22"/>
          <w:szCs w:val="22"/>
          <w:i w:val="1"/>
          <w:iCs w:val="1"/>
        </w:rPr>
        <w:t xml:space="preserve">Wat zijn de locatie-kenmerken die voor deze branche belangrijk zijn (zichtbaarheid, bereikbaarheid, parkeren, omgevingsmix).</w:t>
      </w:r>
    </w:p>
    <w:p>
      <w:pPr>
        <w:pStyle w:val="Heading3"/>
      </w:pPr>
      <w:bookmarkStart w:id="13" w:name="_Toc13"/>
      <w:r>
        <w:t>Distributie- en verkoopkanalen</w:t>
      </w:r>
      <w:bookmarkEnd w:id="13"/>
    </w:p>
    <w:p>
      <w:pPr>
        <w:spacing w:after="100"/>
      </w:pPr>
      <w:r>
        <w:rPr>
          <w:color w:val="6b7280"/>
          <w:sz w:val="22"/>
          <w:szCs w:val="22"/>
          <w:i w:val="1"/>
          <w:iCs w:val="1"/>
        </w:rPr>
        <w:t xml:space="preserve">Welke verkoop- en distributiekanalen worden gebruikt om klanten te bereiken (fysiek, online, partners).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color w:val="6b7280"/>
          <w:sz w:val="22"/>
          <w:szCs w:val="22"/>
          <w:i w:val="1"/>
          <w:iCs w:val="1"/>
        </w:rPr>
        <w:t xml:space="preserve">De rechtsvorm, eigendomsverhoudingen en de manier waarop verantwoordelijkheden zijn verdeeld.</w:t>
      </w:r>
    </w:p>
    <w:p>
      <w:pPr>
        <w:pStyle w:val="Heading3"/>
      </w:pPr>
      <w:bookmarkStart w:id="16" w:name="_Toc16"/>
      <w:r>
        <w:t>Bedrijfsprocessen</w:t>
      </w:r>
      <w:bookmarkEnd w:id="16"/>
    </w:p>
    <w:p>
      <w:pPr>
        <w:spacing w:after="100"/>
      </w:pPr>
      <w:r>
        <w:rPr>
          <w:color w:val="6b7280"/>
          <w:sz w:val="22"/>
          <w:szCs w:val="22"/>
          <w:i w:val="1"/>
          <w:iCs w:val="1"/>
        </w:rPr>
        <w:t xml:space="preserve">De kernprocessen van de onderneming: van inkoop tot levering en alle ondersteunende stappen.</w:t>
      </w:r>
    </w:p>
    <w:p>
      <w:pPr>
        <w:pStyle w:val="Heading3"/>
      </w:pPr>
      <w:bookmarkStart w:id="17" w:name="_Toc17"/>
      <w:r>
        <w:t>Inkoop en leveranciers</w:t>
      </w:r>
      <w:bookmarkEnd w:id="17"/>
    </w:p>
    <w:p>
      <w:pPr>
        <w:spacing w:after="100"/>
      </w:pPr>
      <w:r>
        <w:rPr>
          <w:color w:val="6b7280"/>
          <w:sz w:val="22"/>
          <w:szCs w:val="22"/>
          <w:i w:val="1"/>
          <w:iCs w:val="1"/>
        </w:rPr>
        <w:t xml:space="preserve">Hoe en bij wie de onderneming inkoopt; afspraken over prijzen, betaaltermijnen en levertijden.</w:t>
      </w:r>
    </w:p>
    <w:p>
      <w:pPr>
        <w:pStyle w:val="Heading3"/>
      </w:pPr>
      <w:bookmarkStart w:id="18" w:name="_Toc18"/>
      <w:r>
        <w:t>Vergunningen en registraties</w:t>
      </w:r>
      <w:bookmarkEnd w:id="18"/>
    </w:p>
    <w:p>
      <w:pPr>
        <w:spacing w:after="100"/>
      </w:pPr>
      <w:r>
        <w:rPr>
          <w:color w:val="6b7280"/>
          <w:sz w:val="22"/>
          <w:szCs w:val="22"/>
          <w:i w:val="1"/>
          <w:iCs w:val="1"/>
        </w:rPr>
        <w:t xml:space="preserve">Welke vergunningen, registraties of certificeringen nodig zijn om in deze branche te starten.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color w:val="6b7280"/>
          <w:sz w:val="22"/>
          <w:szCs w:val="22"/>
          <w:i w:val="1"/>
          <w:iCs w:val="1"/>
        </w:rPr>
        <w:t xml:space="preserve">De belangrijkste operationele, markt- en financiële risico's en hoe die worden gemitigeerd.</w:t>
      </w:r>
    </w:p>
    <w:p>
      <w:pPr>
        <w:pStyle w:val="Heading3"/>
      </w:pPr>
      <w:bookmarkStart w:id="21" w:name="_Toc21"/>
      <w:r>
        <w:t>Kwaliteitsborging</w:t>
      </w:r>
      <w:bookmarkEnd w:id="21"/>
    </w:p>
    <w:p>
      <w:pPr>
        <w:spacing w:after="100"/>
      </w:pPr>
      <w:r>
        <w:rPr>
          <w:color w:val="6b7280"/>
          <w:sz w:val="22"/>
          <w:szCs w:val="22"/>
          <w:i w:val="1"/>
          <w:iCs w:val="1"/>
        </w:rPr>
        <w:t xml:space="preserve">Hoe de kwaliteit van producten of diensten wordt geborgd: keurmerken, controles, klantfeedback.</w:t>
      </w:r>
    </w:p>
    <w:p>
      <w:pPr>
        <w:pStyle w:val="Heading3"/>
      </w:pPr>
      <w:bookmarkStart w:id="22" w:name="_Toc22"/>
      <w:r>
        <w:t>Aansprakelijkheden en verzekeringen</w:t>
      </w:r>
      <w:bookmarkEnd w:id="22"/>
    </w:p>
    <w:p>
      <w:pPr>
        <w:spacing w:after="100"/>
      </w:pPr>
      <w:r>
        <w:rPr>
          <w:color w:val="6b7280"/>
          <w:sz w:val="22"/>
          <w:szCs w:val="22"/>
          <w:i w:val="1"/>
          <w:iCs w:val="1"/>
        </w:rPr>
        <w:t xml:space="preserve">Welke aansprakelijkheden meekomen met de activiteiten en welke verzekeringen daarbij passen.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838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2026-05-10T22:47:35+02:00</dcterms:created>
  <dcterms:modified xsi:type="dcterms:W3CDTF">2026-05-10T22:47:35+02:00</dcterms:modified>
</cp:coreProperties>
</file>

<file path=docProps/custom.xml><?xml version="1.0" encoding="utf-8"?>
<Properties xmlns="http://schemas.openxmlformats.org/officeDocument/2006/custom-properties" xmlns:vt="http://schemas.openxmlformats.org/officeDocument/2006/docPropsVTypes"/>
</file>