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architecten (SBI 71.11) · Gegenereerd op 25 juni 2026</w:t>
      </w:r>
    </w:p>
    <w:p>
      <w:pPr>
        <w:spacing w:after="120"/>
      </w:pPr>
      <w:r>
        <w:rPr>
          <w:sz w:val="22"/>
          <w:szCs w:val="22"/>
        </w:rPr>
        <w:t xml:space="preserve">Architectenbureaus richten zich op het ontwerpen en plannen van gebouwen en andere structuren. Hun diensten omvatten vaak het hele proces van conceptontwikkeling tot technische uitwerking en bouwbegeleiding. Klanten zijn divers en variëren van particulieren en projectontwikkelaars tot overheden en bedrijven. Architecten moeten voldoen aan specifieke regelgeving en bouwvoorschriften, wat een grondige kennis van bouwtechniek en wetgeving vereist.</w:t>
      </w:r>
    </w:p>
    <w:p>
      <w:pPr>
        <w:spacing w:after="120"/>
      </w:pPr>
      <w:r>
        <w:rPr>
          <w:sz w:val="22"/>
          <w:szCs w:val="22"/>
        </w:rPr>
        <w:t xml:space="preserve">De marktomgeving voor architecten is dynamisch en wordt beïnvloed door economische schommelingen, technologische vooruitgang en veranderende klantbehoeften. Er is een toenemende vraag naar duurzame en energie-efficiënte ontwerpen, wat architecten dwingt zich voortdurend aan te passen en te innoveren binnen hun vakgebied. De concurrentie is aanzienlijk, met zowel grote als kleine bureaus die strijden om opdrachten.</w:t>
      </w:r>
    </w:p>
    <w:p>
      <w:pPr>
        <w:spacing w:after="120"/>
      </w:pPr>
      <w:r>
        <w:rPr>
          <w:sz w:val="22"/>
          <w:szCs w:val="22"/>
        </w:rPr>
        <w:t xml:space="preserve">In deze sector spelen netwerken en reputatie een cruciale rol. Het opbouwen van een sterk portfolio en goede relaties met aannemers, leveranciers en klanten kan een significant verschil maken in het verkrijgen van nieuwe projecten. Architecten moeten niet alleen creatief zijn, maar ook zakelijke vaardigheden ontwikkelen om succesvol te opereren in deze competitieve markt.</w:t>
      </w:r>
    </w:p>
    <w:p>
      <w:pPr>
        <w:spacing w:after="200"/>
      </w:pPr>
      <w:r>
        <w:rPr>
          <w:color w:val="B8873F"/>
          <w:sz w:val="20"/>
          <w:szCs w:val="20"/>
          <w:i w:val="1"/>
          <w:iCs w:val="1"/>
        </w:rPr>
        <w:t xml:space="preserve">Branche-gemiddelde brutomarge: 82.1%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innovatieve en duurzame architectonische oplossingen voor zowel residentiële als commerciële projecten. Met een focus op energie-efficiëntie en milieuvriendelijk ontwerp, richt het bedrijf zich op klanten die waarde hechten aan ecologische verantwoordelijkheid en esthetische kwaliteit. Diensten omvatten het volledige ontwerpproces, van conceptontwikkeling tot bouwaanvragen en projectmanagement. Het bedrijf werkt nauw samen met aannemers en ingenieurs om ervoor te zorgen dat de ontwerpen niet alleen visueel aantrekkelijk zijn, maar ook technisch haalbaar en kosteneffectief. Door gebruik te maken van de nieuwste technologieën in 3D-modellering en Building Information Modelling (BIM), kunnen klanten het ontwerp in detail visualiseren en zijn wijzigingen in een vroeg stadium efficiënt door te voeren, wat resulteert in een soepel en transparant bouwproces.</w:t>
      </w:r>
    </w:p>
    <w:p>
      <w:pPr>
        <w:pStyle w:val="Heading3"/>
      </w:pPr>
      <w:bookmarkStart w:id="3" w:name="_Toc3"/>
      <w:r>
        <w:t>Missie</w:t>
      </w:r>
      <w:bookmarkEnd w:id="3"/>
    </w:p>
    <w:p>
      <w:pPr>
        <w:spacing w:after="100"/>
      </w:pPr>
      <w:r>
        <w:rPr>
          <w:sz w:val="22"/>
          <w:szCs w:val="22"/>
        </w:rPr>
        <w:t xml:space="preserve">Onze missie is het ontwerpen van innovatieve, duurzame en functionele architecturale oplossingen die naadloos aansluiten bij de behoeften van onze klanten en de omgeving. We streven ernaar om met onze ontwerpen niet alleen esthetische waarde te creëren, maar ook een positieve impact op de leefomgeving en de gemeenschap te hebben. Met een focus op kwaliteit, integriteit en samenwerking, zetten wij ons in om architectuur te leveren die inspireert en bijdraagt aan een betere wereld.</w:t>
      </w:r>
    </w:p>
    <w:p>
      <w:pPr>
        <w:pStyle w:val="Heading3"/>
      </w:pPr>
      <w:bookmarkStart w:id="4" w:name="_Toc4"/>
      <w:r>
        <w:t>Visie</w:t>
      </w:r>
      <w:bookmarkEnd w:id="4"/>
    </w:p>
    <w:p>
      <w:pPr>
        <w:spacing w:after="100"/>
      </w:pPr>
      <w:r>
        <w:rPr>
          <w:sz w:val="22"/>
          <w:szCs w:val="22"/>
        </w:rPr>
        <w:t xml:space="preserve">Onze onderneming voorziet een toekomst waarin architectuur duurzaamheid en technologie integreert om leefbare, toekomstbestendige omgevingen te creëren. We streven ernaar een toonaangevende rol te spelen in de transformatie naar klimaatneutrale gebouwen door innovatieve ontwerpmethoden en duurzame materialen toe te passen. Met de opkomst van digitale technologieën zoals BIM en AI, willen we efficiëntie verhogen en maatwerkoplossingen bieden die inspelen op de veranderende behoeften van onze klanten. We zetten ons in om een katalysator te zijn voor positieve verandering binnen de branche, met een focus op samenwerking, innovatie en verantwoordelijkheid ten opzichte van de gemeenschap en het milieu.</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bezit een diepgaande kennis van bouwontwerp en constructieprincipes, cruciaal voor het creëren van innovatieve en functionele architectonische ontwerpen. Met een achtergrond in architectuur en jarenlange ervaring in het veld, heeft de ondernemer een sterk portfolio opgebouwd dat getuigt van creativiteit en technische vaardigheden. Uitstekende communicatievaardigheden stellen de ondernemer in staat om effectief samen te werken met cliënten, aannemers en andere belanghebbenden, wat essentieel is voor het soepel verlopen van projecten. Bovendien beschikt de ondernemer over sterke projectmanagementvaardigheden, waardoor projecten binnen de gestelde tijd en budget worden afgerond. Het vermogen om op de hoogte te blijven van de laatste trends en technologieën in de architectuursector geeft een competitief voordeel in een dynamische markt.</w:t>
      </w:r>
    </w:p>
    <w:p>
      <w:pPr>
        <w:pStyle w:val="Heading3"/>
      </w:pPr>
      <w:bookmarkStart w:id="7" w:name="_Toc7"/>
      <w:r>
        <w:t>Aandachtspunten</w:t>
      </w:r>
      <w:bookmarkEnd w:id="7"/>
    </w:p>
    <w:p>
      <w:pPr>
        <w:spacing w:after="100"/>
      </w:pPr>
      <w:r>
        <w:rPr>
          <w:sz w:val="22"/>
          <w:szCs w:val="22"/>
        </w:rPr>
        <w:t xml:space="preserve">Een zwakte van de ondernemer binnen de architectenbranche kan zijn dat er onvoldoende aandacht is voor projectmanagementvaardigheden. Architecten zijn vaak sterk in creativiteit en ontwerp, maar kunnen moeite hebben met het beheren van tijd en middelen, wat kan leiden tot overschrijding van deadlines en budgetten. Daarnaast kan er een gebrek aan commerciële vaardigheden zijn, zoals het effectief onderhandelen met klanten of het ontwikkelen van een strategische visie voor groei. Ook kan het lastig zijn om op de hoogte te blijven van de nieuwste bouwtechnologieën en duurzaamheidstrends, wat essentieel is om concurrentievoordeel te behouden en aan veranderende klantverwachtingen te voldoen.</w:t>
      </w:r>
    </w:p>
    <w:p>
      <w:pPr>
        <w:pStyle w:val="Heading3"/>
      </w:pPr>
      <w:bookmarkStart w:id="8" w:name="_Toc8"/>
      <w:r>
        <w:t>Branche-ervaring</w:t>
      </w:r>
      <w:bookmarkEnd w:id="8"/>
    </w:p>
    <w:p>
      <w:pPr>
        <w:spacing w:after="100"/>
      </w:pPr>
      <w:r>
        <w:rPr>
          <w:sz w:val="22"/>
          <w:szCs w:val="22"/>
        </w:rPr>
        <w:t xml:space="preserve">Met een afgeronde masteropleiding in Architectuur aan de Technische Universiteit Delft, beschik ik over een sterke theoretische basis en praktische vaardigheden in ontwerp en stedelijke planning. Tijdens mijn vijfjarige werkervaring bij een gerenommeerd architectenbureau in Amsterdam heb ik geavanceerde kennis opgedaan in duurzame bouwtechnieken en BIM-software. Mijn rol als projectleider omvatte het coördineren van multidisciplinaire teams en het beheren van diverse projecten, van residentiële complexen tot commerciële gebouwen. Door mijn deelname aan de Nederlandse Branchevereniging voor Architectenbureaus (BNA) heb ik een uitgebreid netwerk opgebouwd van professionals en leveranciers in de architectuursector. Dit netwerk stelt mij in staat om voortdurend op de hoogte te blijven van de laatste ontwikkelingen en innovaties binnen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architectenbranche (SBI 71.11) in Nederland wordt gekenmerkt door een dynamische en competitieve markt met een aanzienlijke omvang. De sector heeft de afgelopen jaren een gestage groei doorgemaakt, mede gestimuleerd door de toenemende vraag naar duurzame en innovatieve bouwoplossingen. Belangrijke trends zijn de integratie van technologieën zoals BIM (Building Information Modeling) en de focus op energie-efficiëntie en circulair bouwen. De markt wordt beïnvloed door veranderingen in regelgeving, zoals strengere eisen op het gebied van duurzaamheid en veiligheid.</w:t>
      </w:r>
    </w:p>
    <w:p>
      <w:pPr>
        <w:spacing w:after="100"/>
      </w:pPr>
      <w:r>
        <w:rPr>
          <w:sz w:val="22"/>
          <w:szCs w:val="22"/>
        </w:rPr>
        <w:t xml:space="preserve">Belangrijke spelers in de Nederlandse markt zijn zowel grote architectenbureaus met internationale reikwijdte als middelgrote en kleine ondernemingen die zich richten op nichemarkten. Samenwerking met andere disciplines, zoals ingenieurs en bouwbedrijven, is cruciaal voor succes in deze sector. De concurrentie is sterk, maar er zijn volop kansen voor bedrijven die zich onderscheiden met innovatieve ontwerpen en klantgerichte oplossingen. De sector blijft aantrekkelijk voor nieuwkomers met een onderscheidende visie en expertise.</w:t>
      </w:r>
    </w:p>
    <w:p>
      <w:pPr>
        <w:pStyle w:val="Heading3"/>
      </w:pPr>
      <w:bookmarkStart w:id="11" w:name="_Toc11"/>
      <w:r>
        <w:t>Marktsegmentatie</w:t>
      </w:r>
      <w:bookmarkEnd w:id="11"/>
    </w:p>
    <w:p>
      <w:pPr>
        <w:spacing w:after="100"/>
      </w:pPr>
      <w:r>
        <w:rPr>
          <w:sz w:val="22"/>
          <w:szCs w:val="22"/>
        </w:rPr>
        <w:t xml:space="preserve">De marktsegmentatie voor een architectenbureau binnen de SBI 71.11 branche kan als volgt worden onderverdeeld:</w:t>
      </w:r>
    </w:p>
    <w:p>
      <w:pPr>
        <w:spacing w:after="100"/>
      </w:pPr>
      <w:r>
        <w:rPr>
          <w:sz w:val="22"/>
          <w:szCs w:val="22"/>
        </w:rPr>
        <w:t xml:space="preserve">1. **Particuliere klanten:** Dit segment omvat huiseigenaren die architecten inhuren voor nieuwbouw, verbouwingen of renovaties. Hun behoeften richten zich op creatieve en functionele ontwerpen die passen bij hun persoonlijke stijl en budget. Ze hechten veel waarde aan esthetiek, duurzaamheid en energie-efficiëntie.</w:t>
      </w:r>
    </w:p>
    <w:p>
      <w:pPr>
        <w:spacing w:after="100"/>
      </w:pPr>
      <w:r>
        <w:rPr>
          <w:sz w:val="22"/>
          <w:szCs w:val="22"/>
        </w:rPr>
        <w:t xml:space="preserve">2. **Commerciële klanten:** Dit zijn bedrijven en projectontwikkelaars die architecten inschakelen voor commerciële projecten zoals kantoren, winkels en industriële gebouwen. Ze zoeken naar innovatieve ontwerpen die de merkidentiteit versterken en voldoen aan regelgeving en bouwvoorschriften.</w:t>
      </w:r>
    </w:p>
    <w:p>
      <w:pPr>
        <w:spacing w:after="100"/>
      </w:pPr>
      <w:r>
        <w:rPr>
          <w:sz w:val="22"/>
          <w:szCs w:val="22"/>
        </w:rPr>
        <w:t xml:space="preserve">3. **Publieke sector:** Overheidsinstellingen en non-profitorganisaties die architecten nodig hebben voor openbare gebouwen en infrastructuurprojecten. Belangrijke criteria zijn duurzaamheid, toegankelijkheid en kostenbeheersing, evenals naleving van wettelijke eisen en sociale verantwoordelijkheid.</w:t>
      </w:r>
    </w:p>
    <w:p>
      <w:pPr>
        <w:spacing w:after="100"/>
      </w:pPr>
      <w:r>
        <w:rPr>
          <w:sz w:val="22"/>
          <w:szCs w:val="22"/>
        </w:rPr>
        <w:t xml:space="preserve">Door deze segmenten te begrijpen, kan een architectenbureau zijn diensten en marketingstrategieën effectief afstemmen op de specifieke behoeften van elke klantgroep.</w:t>
      </w:r>
    </w:p>
    <w:p>
      <w:pPr>
        <w:pStyle w:val="Heading3"/>
      </w:pPr>
      <w:bookmarkStart w:id="12" w:name="_Toc12"/>
      <w:r>
        <w:t>Locatie en distributie</w:t>
      </w:r>
      <w:bookmarkEnd w:id="12"/>
    </w:p>
    <w:p>
      <w:pPr>
        <w:spacing w:after="100"/>
      </w:pPr>
      <w:r>
        <w:rPr>
          <w:sz w:val="22"/>
          <w:szCs w:val="22"/>
        </w:rPr>
        <w:t xml:space="preserve">De onderneming is gevestigd in een dynamische stadsomgeving met een rijke architecturale geschiedenis, wat essentieel is voor inspiratie en netwerkmogelijkheden. De locatie biedt uitstekende bereikbaarheid via het openbaar vervoer en ligt in de nabijheid van belangrijke zakelijke hubs en overheidsinstanties, wat gunstig is voor het onderhouden van klantrelaties en het verkrijgen van vergunningen. Daarnaast is de nabijheid van bouwbedrijven, ingenieursbureaus en interieurontwerpers van belang voor samenwerkingsmogelijkheden en efficiënte projectuitvoering. De kantoorruimte zelf is modern en flexibel ingericht, met voldoende ruimte voor creatieve teamsessies en klantpresentaties. Tot slot is er voldoende parkeergelegenheid en zijn er diverse eetgelegenheden in de buurt, wat bijdraagt aan een aangename werkomgeving voor zowel personeel als klanten.</w:t>
      </w:r>
    </w:p>
    <w:p>
      <w:pPr>
        <w:pStyle w:val="Heading3"/>
      </w:pPr>
      <w:bookmarkStart w:id="13" w:name="_Toc13"/>
      <w:r>
        <w:t>Distributie- en verkoopkanalen</w:t>
      </w:r>
      <w:bookmarkEnd w:id="13"/>
    </w:p>
    <w:p>
      <w:pPr>
        <w:spacing w:after="100"/>
      </w:pPr>
      <w:r>
        <w:rPr>
          <w:sz w:val="22"/>
          <w:szCs w:val="22"/>
        </w:rPr>
        <w:t xml:space="preserve">In de architectenbranche zijn directe verkoopkanalen essentieel, waarbij persoonlijk contact met potentiële klanten centraal staat. Netwerkevenementen en vakbeurzen zijn effectieve kanalen voor het opbouwen van relaties met projectontwikkelaars, aannemers en vastgoedinvesteerders. Daarnaast spelen online platforms en sociale media een steeds belangrijkere rol in het aantrekken van nieuwe klanten en het tonen van portfolio's. Een professionele website fungeert als digitaal visitekaartje en dient als platform voor het delen van projecten, blogs en nieuwsbrieven. Samenwerkingen met bouwbedrijven en ontwikkelaars kunnen leiden tot wederzijdse aanbevelingen en kruisbestuiving van klanten. Mond-tot-mondreclame blijft een krachtig kanaal, aangedreven door klanttevredenheid en reputatie. Ten slotte kunnen architectenbureaus deelnemen aan aanbestedingen en prijsvragen om nieuwe opdrachten binnen te halen.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architectenbureau binnen de branche SBI 71.11 is meestal georganiseerd als een besloten vennootschap (BV) vanwege de beperkte aansprakelijkheid en de mogelijkheid om te groeien door investeerders aan te trekken. De organisatiestructuur bestaat doorgaans uit een directie, bestaande uit een algemeen directeur en een financieel directeur. Onder de directie bevindt zich het managementteam met rollen als hoofd architectuur, hoofd projectmanagement en hoofd ontwerp.</w:t>
      </w:r>
    </w:p>
    <w:p>
      <w:pPr>
        <w:spacing w:after="100"/>
      </w:pPr>
      <w:r>
        <w:rPr>
          <w:sz w:val="22"/>
          <w:szCs w:val="22"/>
        </w:rPr>
        <w:t xml:space="preserve">Het architectenteam bestaat uit senior architecten, junior architecten en stagiaires. Daarnaast is er een projectmanagementafdeling die verantwoordelijk is voor de coördinatie en uitvoering van projecten. Deze afdeling werkt nauw samen met het ontwerpteam, dat bestaat uit interieurontwerpers, landschapsarchitecten en technische tekenaars. De ondersteunende functies omvatten HR, administratie en marketing, die zorgen voor personeelsbeheer, financiële administratie en het promoten van het bureau.</w:t>
      </w:r>
    </w:p>
    <w:p>
      <w:pPr>
        <w:spacing w:after="100"/>
      </w:pPr>
      <w:r>
        <w:rPr>
          <w:sz w:val="22"/>
          <w:szCs w:val="22"/>
        </w:rPr>
        <w:t xml:space="preserve">Deze structuur bevordert efficiëntie en samenwerking, essentieel voor het succesvol opleveren van architecturale projecten.</w:t>
      </w:r>
    </w:p>
    <w:p>
      <w:pPr>
        <w:pStyle w:val="Heading3"/>
      </w:pPr>
      <w:bookmarkStart w:id="16" w:name="_Toc16"/>
      <w:r>
        <w:t>Bedrijfsprocessen</w:t>
      </w:r>
      <w:bookmarkEnd w:id="16"/>
    </w:p>
    <w:p>
      <w:pPr>
        <w:spacing w:after="100"/>
      </w:pPr>
      <w:r>
        <w:rPr>
          <w:sz w:val="22"/>
          <w:szCs w:val="22"/>
        </w:rPr>
        <w:t xml:space="preserve">Het bedrijfsproces van een architectenbureau begint met de inkoop van benodigde middelen en diensten. Dit omvat het aanschaffen van softwarelicenties voor ontwerp- en tekenprogramma's, het inhuren van gespecialiseerde consultants indien nodig, en het verkrijgen van technische materialen en literatuur.</w:t>
      </w:r>
    </w:p>
    <w:p>
      <w:pPr>
        <w:spacing w:after="100"/>
      </w:pPr>
      <w:r>
        <w:rPr>
          <w:sz w:val="22"/>
          <w:szCs w:val="22"/>
        </w:rPr>
        <w:t xml:space="preserve">De kern van de dienstverlening is het ontwerpproces, dat start met een gedetailleerde behoefteanalyse van de klant. Vervolgens wordt een conceptueel ontwerp ontwikkeld, dat na goedkeuring verder wordt uitgewerkt tot een definitief ontwerp. Hierbij worden nauwkeurige technische tekeningen en specificaties opgesteld, rekening houdend met bouwvoorschriften en milieu-eisen. Het bureau coördineert ook met ingenieurs en andere professionals om de haalbaarheid en efficiëntie van het ontwerp te waarborgen.</w:t>
      </w:r>
    </w:p>
    <w:p>
      <w:pPr>
        <w:spacing w:after="100"/>
      </w:pPr>
      <w:r>
        <w:rPr>
          <w:sz w:val="22"/>
          <w:szCs w:val="22"/>
        </w:rPr>
        <w:t xml:space="preserve">Verkoopprocessen richten zich op het verwerven van nieuwe projecten en klanten. Dit gebeurt via netwerkactiviteiten, het indienen van offertes en het presenteren van eerdere succesvolle projecten om potentiële klanten te overtuigen van de expertise en ervaring van het bureau.</w:t>
      </w:r>
    </w:p>
    <w:p>
      <w:pPr>
        <w:spacing w:after="100"/>
      </w:pPr>
      <w:r>
        <w:rPr>
          <w:sz w:val="22"/>
          <w:szCs w:val="22"/>
        </w:rPr>
        <w:t xml:space="preserve">Administratieve processen omvatten het beheer van contracten, facturatie, budgetbewaking en projectplanning. Zorgvuldige documentatie en tijdige rapportage zijn essentieel om de voortgang van projecten te monitoren en de klanttevredenheid te waarborgen.</w:t>
      </w:r>
    </w:p>
    <w:p>
      <w:pPr>
        <w:pStyle w:val="Heading3"/>
      </w:pPr>
      <w:bookmarkStart w:id="17" w:name="_Toc17"/>
      <w:r>
        <w:t>Inkoop en leveranciers</w:t>
      </w:r>
      <w:bookmarkEnd w:id="17"/>
    </w:p>
    <w:p>
      <w:pPr>
        <w:spacing w:after="100"/>
      </w:pPr>
      <w:r>
        <w:rPr>
          <w:sz w:val="22"/>
          <w:szCs w:val="22"/>
        </w:rPr>
        <w:t xml:space="preserve">In de architectenbranche is het inkoopproces gericht op het verkrijgen van hoogwaardige materialen, software en diensten die essentieel zijn voor het ontwerp- en uitvoeringsproces. Typische inkopen omvatten CAD-softwarelicenties, bouwmaterialen en kantoorbenodigdheden. Relaties met leveranciers zijn cruciaal voor het waarborgen van tijdige levering en kwaliteit. Architecten werken vaak samen met leveranciers van bouwmaterialen zoals staal, glas en beton, evenals met technologiebedrijven voor software en hardware. Het is belangrijk om langdurige relaties te onderhouden met betrouwbare leveranciers om projectdeadlines en budgetten te respecteren. Daarnaast worden vaak samenwerkingsverbanden aangegaan met gespecialiseerde ingenieursbureaus en consultants voor aanvullende diensten zoals structurele en installatietechnische adviezen. Transparante communicatie en duidelijke contractvoorwaarden zijn essentieel voor succesvolle leveranciersrelaties in deze sector.</w:t>
      </w:r>
    </w:p>
    <w:p>
      <w:pPr>
        <w:pStyle w:val="Heading3"/>
      </w:pPr>
      <w:bookmarkStart w:id="18" w:name="_Toc18"/>
      <w:r>
        <w:t>Vergunningen en registraties</w:t>
      </w:r>
      <w:bookmarkEnd w:id="18"/>
    </w:p>
    <w:p>
      <w:pPr>
        <w:spacing w:after="100"/>
      </w:pPr>
      <w:r>
        <w:rPr>
          <w:sz w:val="22"/>
          <w:szCs w:val="22"/>
        </w:rPr>
        <w:t xml:space="preserve">Voor een architectenbureau (SBI 71.11) is het essentieel dat de onderneming ingeschreven staat bij de Kamer van Koophandel (KvK). Daarnaast dient de architect geregistreerd te zijn in het Architectenregister conform de Wet op de architectentitel (WAT) om de titel 'architect' te mogen voeren. Afhankelijk van de specifieke projecten en locaties kunnen omgevingsvergunningen vereist zijn, vooral bij bouwprojecten. Ook kan lidmaatschap bij de Bond van Nederlandse Architecten (BNA) van waarde zijn voor netwerk en kwaliteitsborging. Het naleven van de Algemene Verordening Gegevensbescherming (AVG) is noodzakelijk voor de verwerking van persoonsgegevens binnen de praktijk.</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architectenbranche zijn er verschillende risico's die in overweging moeten worden genomen. Operationeel gezien bestaat er het risico van vertragingen in projecten als gevolg van onvoldoende coördinatie tussen verschillende stakeholders, zoals aannemers en ingenieurs. Dit kan leiden tot kostenoverschrijdingen en reputatieschade. Op de markt zijn architectenbedrijven gevoelig voor economische fluctuaties; tijdens recessies kan de vraag naar nieuwe bouwprojecten aanzienlijk dalen, wat resulteert in een afname van opdrachten en inkomsten. Daarnaast is er concurrentie van zowel lokale als internationale architectenbureaus, wat druk kan uitoefenen op prijs en marges. Financieel gezien kan een architectenbureau geconfronteerd worden met kasstroomproblemen als gevolg van late betalingen door klanten, vooral bij grote projecten waar betalingen vaak in fasen plaatsvinden. Dit kan de liquiditeit van de onderneming onder druk zetten en de operationele continuïteit in gevaar brengen. Het is essentieel om deze risico's proactief te beheren om de duurzaamheid van de onderneming te waarborgen.</w:t>
      </w:r>
    </w:p>
    <w:p>
      <w:pPr>
        <w:pStyle w:val="Heading3"/>
      </w:pPr>
      <w:bookmarkStart w:id="21" w:name="_Toc21"/>
      <w:r>
        <w:t>Kwaliteitsborging</w:t>
      </w:r>
      <w:bookmarkEnd w:id="21"/>
    </w:p>
    <w:p>
      <w:pPr>
        <w:spacing w:after="100"/>
      </w:pPr>
      <w:r>
        <w:rPr>
          <w:sz w:val="22"/>
          <w:szCs w:val="22"/>
        </w:rPr>
        <w:t xml:space="preserve">In de architectenbranche wordt kwaliteit geborgd door het hanteren van strikte interne controles en het voldoen aan erkende normen zoals ISO 9001 voor kwaliteitsmanagementsystemen. Architectenbureaus implementeren vaak een gestructureerd kwaliteitsmanagementsysteem dat projectprocessen bewaakt, van ontwerp tot oplevering. Het lidmaatschap van brancheorganisaties zoals de Bond van Nederlandse Architecten (BNA) biedt toegang tot aanvullende kwaliteitsrichtlijnen en ondersteuning. Keurmerken zoals het BREEAM-certificaat garanderen dat duurzame en milieuvriendelijke ontwerpen worden nageleefd. Regelmatige audits en peer reviews binnen projecten zorgen ervoor dat de hoogste standaarden worden gehandhaafd. Door voortdurende bijscholing en het up-to-date houden van kennis en vaardigheden, blijven architecten op de hoogte van de nieuwste ontwikkelingen en innovaties binnen de sector.</w:t>
      </w:r>
    </w:p>
    <w:p>
      <w:pPr>
        <w:pStyle w:val="Heading3"/>
      </w:pPr>
      <w:bookmarkStart w:id="22" w:name="_Toc22"/>
      <w:r>
        <w:t>Aansprakelijkheden en verzekeringen</w:t>
      </w:r>
      <w:bookmarkEnd w:id="22"/>
    </w:p>
    <w:p>
      <w:pPr>
        <w:spacing w:after="100"/>
      </w:pPr>
      <w:r>
        <w:rPr>
          <w:sz w:val="22"/>
          <w:szCs w:val="22"/>
        </w:rPr>
        <w:t xml:space="preserve">In de architectenbranche zijn beroepsaansprakelijkheid en bedrijfsaansprakelijkheid de meest cruciale verzekeringen. Beroepsaansprakelijkheidsverzekering dekt claims voor fouten, nalatigheden of ontwerpfouten die leiden tot financiële schade bij opdrachtgevers. Deze verzekering is essentieel gezien de complexiteit van bouwprojecten en de hoge kosten van eventuele fouten. Bedrijfsaansprakelijkheidsverzekering beschermt tegen claims voor materiële schade of letsel aan derden veroorzaakt door bedrijfsactiviteiten. Daarnaast is een rechtsbijstandverzekering aan te raden om juridische kosten te dekken bij geschillen. Het is ook verstandig om dekking te overwegen voor eigendommen zoals kantooruitrusting en digitale risico’s, gezien de toename van cyberdreigingen. Regelmatige evaluatie van verzekeringsbehoeften is noodzakelijk om dekkingslacunes te voorkomen en risico’s adequaat te beheren.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1AA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2026-06-25T04:07:58+02:00</dcterms:created>
  <dcterms:modified xsi:type="dcterms:W3CDTF">2026-06-25T04:07:58+02:00</dcterms:modified>
</cp:coreProperties>
</file>

<file path=docProps/custom.xml><?xml version="1.0" encoding="utf-8"?>
<Properties xmlns="http://schemas.openxmlformats.org/officeDocument/2006/custom-properties" xmlns:vt="http://schemas.openxmlformats.org/officeDocument/2006/docPropsVTypes"/>
</file>